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DC" w:rsidRDefault="003718DC" w:rsidP="008F4BEF">
      <w:pPr>
        <w:pStyle w:val="CCTOCHeading"/>
        <w:spacing w:after="0"/>
        <w:jc w:val="center"/>
      </w:pPr>
      <w:bookmarkStart w:id="0" w:name="_Toc290899689"/>
      <w:bookmarkStart w:id="1" w:name="_Toc290899921"/>
      <w:bookmarkStart w:id="2" w:name="_Toc290973022"/>
      <w:r>
        <w:rPr>
          <w:noProof/>
        </w:rPr>
        <w:drawing>
          <wp:inline distT="0" distB="0" distL="0" distR="0" wp14:anchorId="60F1D0E3" wp14:editId="37E76F81">
            <wp:extent cx="2453640" cy="11513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AOLogo-Vector&amp;Hi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823" cy="1151409"/>
                    </a:xfrm>
                    <a:prstGeom prst="rect">
                      <a:avLst/>
                    </a:prstGeom>
                  </pic:spPr>
                </pic:pic>
              </a:graphicData>
            </a:graphic>
          </wp:inline>
        </w:drawing>
      </w:r>
    </w:p>
    <w:p w:rsidR="008F4BEF" w:rsidRDefault="008F4BEF" w:rsidP="008F4BEF">
      <w:pPr>
        <w:pStyle w:val="CCTOCHeading"/>
        <w:spacing w:after="0"/>
        <w:jc w:val="center"/>
      </w:pPr>
      <w:r>
        <w:t>Capitol Comments</w:t>
      </w:r>
    </w:p>
    <w:p w:rsidR="008F4BEF" w:rsidRPr="00003EF2" w:rsidRDefault="008F4BEF" w:rsidP="008F4BEF">
      <w:pPr>
        <w:pStyle w:val="CCTOCHeading"/>
        <w:spacing w:after="0"/>
        <w:jc w:val="center"/>
      </w:pPr>
      <w:r>
        <w:t>May 2015</w:t>
      </w:r>
    </w:p>
    <w:p w:rsidR="008F4BEF" w:rsidRDefault="008F4BEF" w:rsidP="008F4BEF">
      <w:pPr>
        <w:pStyle w:val="Heading"/>
        <w:rPr>
          <w:rFonts w:ascii="Georgia" w:hAnsi="Georgia"/>
          <w:i/>
          <w:color w:val="002060"/>
          <w:sz w:val="20"/>
          <w:szCs w:val="20"/>
        </w:rPr>
      </w:pPr>
    </w:p>
    <w:p w:rsidR="008F4BEF" w:rsidRPr="002B6D28" w:rsidRDefault="008F4BEF" w:rsidP="008F4BEF">
      <w:pPr>
        <w:pStyle w:val="Heading"/>
        <w:rPr>
          <w:rFonts w:ascii="Georgia" w:hAnsi="Georgia"/>
          <w:i/>
          <w:color w:val="002060"/>
          <w:sz w:val="20"/>
          <w:szCs w:val="20"/>
        </w:rPr>
      </w:pPr>
      <w:r w:rsidRPr="002B6D28">
        <w:rPr>
          <w:rFonts w:ascii="Georgia" w:hAnsi="Georgia"/>
          <w:i/>
          <w:color w:val="002060"/>
          <w:sz w:val="20"/>
          <w:szCs w:val="20"/>
        </w:rPr>
        <w:t xml:space="preserve">When there is a deadline associated with an item, you will see this graphic: </w:t>
      </w:r>
      <w:r w:rsidRPr="002B6D28">
        <w:rPr>
          <w:rFonts w:ascii="Georgia" w:hAnsi="Georgia"/>
          <w:i/>
          <w:noProof/>
          <w:color w:val="002060"/>
          <w:sz w:val="20"/>
          <w:szCs w:val="20"/>
        </w:rPr>
        <w:drawing>
          <wp:inline distT="0" distB="0" distL="0" distR="0" wp14:anchorId="76AAC4AD" wp14:editId="1048246D">
            <wp:extent cx="275590" cy="220980"/>
            <wp:effectExtent l="0" t="0" r="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p>
    <w:bookmarkEnd w:id="0"/>
    <w:bookmarkEnd w:id="1"/>
    <w:bookmarkEnd w:id="2"/>
    <w:p w:rsidR="008F4BEF" w:rsidRPr="002B6D28" w:rsidRDefault="008F4BEF" w:rsidP="008F4BEF">
      <w:pPr>
        <w:pStyle w:val="Heading"/>
        <w:rPr>
          <w:b w:val="0"/>
          <w:color w:val="002060"/>
          <w:sz w:val="24"/>
          <w:szCs w:val="24"/>
        </w:rPr>
      </w:pPr>
    </w:p>
    <w:p w:rsidR="008F4BEF" w:rsidRPr="00003EF2" w:rsidRDefault="008F4BEF" w:rsidP="008F4BEF">
      <w:pPr>
        <w:pStyle w:val="CCTOCHeading"/>
      </w:pPr>
      <w:bookmarkStart w:id="3" w:name="_Toc409519092"/>
      <w:r w:rsidRPr="00003EF2">
        <w:t>Joint federal agency issuances</w:t>
      </w:r>
      <w:bookmarkEnd w:id="3"/>
    </w:p>
    <w:p w:rsidR="008F4BEF" w:rsidRPr="00A215EA" w:rsidRDefault="008F4BEF" w:rsidP="008F4BEF">
      <w:pPr>
        <w:pStyle w:val="CCIssuance"/>
        <w:spacing w:before="120"/>
      </w:pPr>
      <w:r>
        <w:t xml:space="preserve">Joint agencies’ issue registration rule on appraisal management companies </w:t>
      </w:r>
    </w:p>
    <w:p w:rsidR="008F4BEF" w:rsidRPr="00100D61" w:rsidRDefault="008F4BEF" w:rsidP="008F4BEF">
      <w:pPr>
        <w:pStyle w:val="CCComment"/>
        <w:rPr>
          <w:rFonts w:eastAsia="Times New Roman"/>
          <w:b w:val="0"/>
          <w:i w:val="0"/>
          <w:color w:val="auto"/>
          <w:szCs w:val="24"/>
        </w:rPr>
      </w:pPr>
      <w:r>
        <w:rPr>
          <w:rFonts w:eastAsia="Times New Roman"/>
          <w:b w:val="0"/>
          <w:i w:val="0"/>
          <w:color w:val="auto"/>
          <w:szCs w:val="24"/>
        </w:rPr>
        <w:t>The agencies</w:t>
      </w:r>
      <w:r w:rsidRPr="00100D61">
        <w:rPr>
          <w:rFonts w:eastAsia="Times New Roman"/>
          <w:b w:val="0"/>
          <w:i w:val="0"/>
          <w:color w:val="auto"/>
          <w:szCs w:val="24"/>
        </w:rPr>
        <w:t xml:space="preserve"> issued a final rule to implement the minimum requirements in the Dodd-Frank Act for the registration and supervision of appraisal management companies (AMCs). An AMC is an entity that meets the statutory appraiser panel threshold size and provides certain types of appraisal management services in connection with valuing a consumer's principal dwelling as security for a consumer credit transaction or incorporating such transactions into securitizations.</w:t>
      </w:r>
    </w:p>
    <w:p w:rsidR="008F4BEF" w:rsidRDefault="00123870" w:rsidP="008F4BEF">
      <w:pPr>
        <w:pStyle w:val="CCComment"/>
        <w:rPr>
          <w:rFonts w:eastAsia="Times New Roman"/>
          <w:b w:val="0"/>
          <w:i w:val="0"/>
          <w:color w:val="auto"/>
          <w:szCs w:val="24"/>
        </w:rPr>
      </w:pPr>
      <w:hyperlink r:id="rId10" w:history="1">
        <w:r w:rsidR="008F4BEF" w:rsidRPr="00100D61">
          <w:rPr>
            <w:rStyle w:val="Hyperlink"/>
            <w:rFonts w:eastAsia="Times New Roman"/>
            <w:b w:val="0"/>
            <w:i w:val="0"/>
            <w:szCs w:val="24"/>
          </w:rPr>
          <w:t>FIL-19-2015</w:t>
        </w:r>
      </w:hyperlink>
      <w:r w:rsidR="008F4BEF">
        <w:rPr>
          <w:rStyle w:val="EndnoteReference"/>
          <w:rFonts w:eastAsia="Times New Roman"/>
          <w:b w:val="0"/>
          <w:i w:val="0"/>
          <w:color w:val="auto"/>
          <w:szCs w:val="24"/>
        </w:rPr>
        <w:endnoteReference w:id="1"/>
      </w:r>
      <w:r w:rsidR="008F4BEF" w:rsidRPr="00100D61">
        <w:rPr>
          <w:rFonts w:eastAsia="Times New Roman"/>
          <w:b w:val="0"/>
          <w:i w:val="0"/>
          <w:color w:val="auto"/>
          <w:szCs w:val="24"/>
        </w:rPr>
        <w:t xml:space="preserve"> applies only to those FDIC-supervised institutions, including community banks, that own an AMC that meets the statutory appraiser panel threshold size of more than 15 appraisers in one state or 25 or more appraisers in two or more states. Although no FDIC-supervised institutions currently own an AMC that meets the statutory appraiser panel threshold size, those that own an AMC that falls below the statutory appraiser panel threshold size are not precluded from participating if they wish to be listed on the National AMC Registry.</w:t>
      </w:r>
    </w:p>
    <w:p w:rsidR="008F4BEF" w:rsidRPr="002F6C30" w:rsidRDefault="008F4BEF" w:rsidP="008F4BEF">
      <w:pPr>
        <w:pStyle w:val="CCComment"/>
        <w:rPr>
          <w:color w:val="002060"/>
        </w:rPr>
      </w:pPr>
      <w:r w:rsidRPr="002B6D28">
        <w:rPr>
          <w:color w:val="002060"/>
        </w:rPr>
        <w:t xml:space="preserve">Comment: </w:t>
      </w:r>
      <w:r w:rsidRPr="002F6C30">
        <w:rPr>
          <w:color w:val="002060"/>
        </w:rPr>
        <w:t>Under the proposed rule, participating states would require that an AMC:</w:t>
      </w:r>
    </w:p>
    <w:p w:rsidR="008F4BEF" w:rsidRPr="002F6C30" w:rsidRDefault="008F4BEF" w:rsidP="008F4BEF">
      <w:pPr>
        <w:pStyle w:val="CCComment"/>
        <w:numPr>
          <w:ilvl w:val="0"/>
          <w:numId w:val="48"/>
        </w:numPr>
        <w:rPr>
          <w:color w:val="002060"/>
        </w:rPr>
      </w:pPr>
      <w:r w:rsidRPr="002F6C30">
        <w:rPr>
          <w:color w:val="002060"/>
        </w:rPr>
        <w:t>Register in the state and be subject to its supervision;</w:t>
      </w:r>
    </w:p>
    <w:p w:rsidR="008F4BEF" w:rsidRPr="002F6C30" w:rsidRDefault="008F4BEF" w:rsidP="008F4BEF">
      <w:pPr>
        <w:pStyle w:val="CCComment"/>
        <w:numPr>
          <w:ilvl w:val="0"/>
          <w:numId w:val="48"/>
        </w:numPr>
        <w:rPr>
          <w:color w:val="002060"/>
        </w:rPr>
      </w:pPr>
      <w:r w:rsidRPr="002F6C30">
        <w:rPr>
          <w:color w:val="002060"/>
        </w:rPr>
        <w:t>Use only state-certified or licensed appraisers for federally related transactions, such as real estate-related financial transactions overseen by a federal financial institution regulatory agency that require appraiser services;</w:t>
      </w:r>
    </w:p>
    <w:p w:rsidR="008F4BEF" w:rsidRPr="002F6C30" w:rsidRDefault="008F4BEF" w:rsidP="008F4BEF">
      <w:pPr>
        <w:pStyle w:val="CCComment"/>
        <w:numPr>
          <w:ilvl w:val="0"/>
          <w:numId w:val="48"/>
        </w:numPr>
        <w:rPr>
          <w:color w:val="002060"/>
        </w:rPr>
      </w:pPr>
      <w:r w:rsidRPr="002F6C30">
        <w:rPr>
          <w:color w:val="002060"/>
        </w:rPr>
        <w:t>Require that appraisals comply with the Uniform Standards of Professional Appraisal Practice;</w:t>
      </w:r>
    </w:p>
    <w:p w:rsidR="008F4BEF" w:rsidRPr="002F6C30" w:rsidRDefault="008F4BEF" w:rsidP="008F4BEF">
      <w:pPr>
        <w:pStyle w:val="CCComment"/>
        <w:numPr>
          <w:ilvl w:val="0"/>
          <w:numId w:val="48"/>
        </w:numPr>
        <w:rPr>
          <w:color w:val="002060"/>
        </w:rPr>
      </w:pPr>
      <w:r w:rsidRPr="002F6C30">
        <w:rPr>
          <w:color w:val="002060"/>
        </w:rPr>
        <w:t>Ensure selection of a competent and independent appraiser; and</w:t>
      </w:r>
    </w:p>
    <w:p w:rsidR="008F4BEF" w:rsidRPr="002F6C30" w:rsidRDefault="008F4BEF" w:rsidP="008F4BEF">
      <w:pPr>
        <w:pStyle w:val="CCComment"/>
        <w:numPr>
          <w:ilvl w:val="0"/>
          <w:numId w:val="48"/>
        </w:numPr>
        <w:rPr>
          <w:color w:val="002060"/>
        </w:rPr>
      </w:pPr>
      <w:r w:rsidRPr="002F6C30">
        <w:rPr>
          <w:color w:val="002060"/>
        </w:rPr>
        <w:t>Establish and comply with processes and controls reasonably designed to ensure that appraisals comply with the appraisal independence standards established under the Truth in Lending Act.</w:t>
      </w:r>
    </w:p>
    <w:p w:rsidR="008F4BEF" w:rsidRDefault="008F4BEF" w:rsidP="008F4BEF">
      <w:pPr>
        <w:pStyle w:val="CCComment"/>
        <w:rPr>
          <w:color w:val="002060"/>
        </w:rPr>
      </w:pPr>
      <w:r w:rsidRPr="002F6C30">
        <w:rPr>
          <w:color w:val="002060"/>
        </w:rPr>
        <w:t>The proposed rule also would require that the certifying and licensing agency of a participating state have certain authorities</w:t>
      </w:r>
      <w:r>
        <w:rPr>
          <w:color w:val="002060"/>
        </w:rPr>
        <w:t xml:space="preserve">. </w:t>
      </w:r>
    </w:p>
    <w:p w:rsidR="008F4BEF" w:rsidRPr="002B6D28" w:rsidRDefault="008F4BEF" w:rsidP="008F4BEF">
      <w:pPr>
        <w:pStyle w:val="CCComment"/>
        <w:rPr>
          <w:color w:val="002060"/>
        </w:rPr>
      </w:pPr>
      <w:r>
        <w:rPr>
          <w:color w:val="002060"/>
        </w:rPr>
        <w:t>Few community banks own AMC’s.</w:t>
      </w:r>
    </w:p>
    <w:p w:rsidR="008F4BEF" w:rsidRDefault="008F4BEF" w:rsidP="008F4BEF">
      <w:pPr>
        <w:pStyle w:val="CCComment"/>
        <w:rPr>
          <w:rFonts w:ascii="ITC Avant Garde Gothic" w:eastAsia="Times New Roman" w:hAnsi="ITC Avant Garde Gothic"/>
          <w:i w:val="0"/>
          <w:color w:val="595959" w:themeColor="text1" w:themeTint="A6"/>
          <w:sz w:val="24"/>
          <w:szCs w:val="24"/>
        </w:rPr>
      </w:pPr>
    </w:p>
    <w:p w:rsidR="008F4BEF" w:rsidRPr="00C670EC" w:rsidRDefault="008F4BEF" w:rsidP="008F4BEF">
      <w:pPr>
        <w:pStyle w:val="CCComment"/>
        <w:rPr>
          <w:rFonts w:eastAsia="Times New Roman"/>
          <w:b w:val="0"/>
          <w:i w:val="0"/>
          <w:color w:val="auto"/>
          <w:szCs w:val="24"/>
        </w:rPr>
      </w:pPr>
      <w:r>
        <w:rPr>
          <w:rFonts w:ascii="ITC Avant Garde Gothic" w:eastAsia="Times New Roman" w:hAnsi="ITC Avant Garde Gothic"/>
          <w:i w:val="0"/>
          <w:color w:val="595959" w:themeColor="text1" w:themeTint="A6"/>
          <w:sz w:val="24"/>
          <w:szCs w:val="24"/>
        </w:rPr>
        <w:t xml:space="preserve">FFIEC: </w:t>
      </w:r>
      <w:r w:rsidRPr="00C670EC">
        <w:rPr>
          <w:rFonts w:ascii="ITC Avant Garde Gothic" w:eastAsia="Times New Roman" w:hAnsi="ITC Avant Garde Gothic"/>
          <w:i w:val="0"/>
          <w:color w:val="595959" w:themeColor="text1" w:themeTint="A6"/>
          <w:sz w:val="24"/>
          <w:szCs w:val="24"/>
        </w:rPr>
        <w:t>2015 Guide to CRA Data Collection and Reporting</w:t>
      </w:r>
    </w:p>
    <w:p w:rsidR="008F4BEF" w:rsidRDefault="008F4BEF" w:rsidP="008F4BEF">
      <w:pPr>
        <w:pStyle w:val="CCComment"/>
        <w:rPr>
          <w:rFonts w:eastAsia="Times New Roman"/>
          <w:b w:val="0"/>
          <w:i w:val="0"/>
          <w:color w:val="auto"/>
          <w:szCs w:val="24"/>
        </w:rPr>
      </w:pPr>
      <w:r w:rsidRPr="00C670EC">
        <w:rPr>
          <w:rFonts w:eastAsia="Times New Roman"/>
          <w:b w:val="0"/>
          <w:i w:val="0"/>
          <w:color w:val="auto"/>
          <w:szCs w:val="24"/>
        </w:rPr>
        <w:t xml:space="preserve">The </w:t>
      </w:r>
      <w:hyperlink r:id="rId11" w:history="1">
        <w:r w:rsidRPr="00C670EC">
          <w:rPr>
            <w:rStyle w:val="Hyperlink"/>
            <w:rFonts w:eastAsia="Times New Roman"/>
            <w:b w:val="0"/>
            <w:i w:val="0"/>
            <w:szCs w:val="24"/>
          </w:rPr>
          <w:t>2015 Guide to CRA Data Collection and Reporting</w:t>
        </w:r>
      </w:hyperlink>
      <w:r>
        <w:rPr>
          <w:rStyle w:val="EndnoteReference"/>
          <w:rFonts w:eastAsia="Times New Roman"/>
          <w:b w:val="0"/>
          <w:i w:val="0"/>
          <w:color w:val="auto"/>
          <w:szCs w:val="24"/>
        </w:rPr>
        <w:endnoteReference w:id="2"/>
      </w:r>
      <w:r>
        <w:rPr>
          <w:rFonts w:eastAsia="Times New Roman"/>
          <w:b w:val="0"/>
          <w:i w:val="0"/>
          <w:color w:val="auto"/>
          <w:szCs w:val="24"/>
        </w:rPr>
        <w:t xml:space="preserve"> was released by the FFIEC. I</w:t>
      </w:r>
      <w:r w:rsidRPr="00C670EC">
        <w:rPr>
          <w:rFonts w:eastAsia="Times New Roman"/>
          <w:b w:val="0"/>
          <w:i w:val="0"/>
          <w:color w:val="auto"/>
          <w:szCs w:val="24"/>
        </w:rPr>
        <w:t>t provides a summary of responsibilities and requirements, directions for assembling the necessary tools, and instructions for reporting CRA data.</w:t>
      </w:r>
    </w:p>
    <w:p w:rsidR="008F4BEF" w:rsidRPr="002B6D28" w:rsidRDefault="008F4BEF" w:rsidP="008F4BEF">
      <w:pPr>
        <w:pStyle w:val="CCComment"/>
        <w:rPr>
          <w:color w:val="002060"/>
        </w:rPr>
      </w:pPr>
      <w:r w:rsidRPr="002B6D28">
        <w:rPr>
          <w:color w:val="002060"/>
        </w:rPr>
        <w:lastRenderedPageBreak/>
        <w:t xml:space="preserve">Comment: </w:t>
      </w:r>
      <w:r>
        <w:rPr>
          <w:color w:val="002060"/>
        </w:rPr>
        <w:t xml:space="preserve">Additionally, in January, the Federal Reserve Bank of Dallas revised the </w:t>
      </w:r>
      <w:hyperlink r:id="rId12" w:history="1">
        <w:r w:rsidRPr="002F6C30">
          <w:rPr>
            <w:rStyle w:val="Hyperlink"/>
          </w:rPr>
          <w:t>CRA Loan Data Collection Grid</w:t>
        </w:r>
      </w:hyperlink>
      <w:r>
        <w:rPr>
          <w:rStyle w:val="EndnoteReference"/>
          <w:color w:val="002060"/>
        </w:rPr>
        <w:endnoteReference w:id="3"/>
      </w:r>
      <w:r>
        <w:rPr>
          <w:color w:val="002060"/>
        </w:rPr>
        <w:t xml:space="preserve"> which</w:t>
      </w:r>
      <w:r w:rsidRPr="002F6C30">
        <w:rPr>
          <w:color w:val="002060"/>
        </w:rPr>
        <w:t xml:space="preserve"> is intended as a quick guide for identifying CRA loan data reporting categories. It is designed for bank</w:t>
      </w:r>
      <w:r>
        <w:rPr>
          <w:color w:val="002060"/>
        </w:rPr>
        <w:t xml:space="preserve"> </w:t>
      </w:r>
      <w:r w:rsidRPr="002F6C30">
        <w:rPr>
          <w:color w:val="002060"/>
        </w:rPr>
        <w:t>CEOs, presidents, CRA and compliance officers and others who have an interest in the CRA loan data collection process.</w:t>
      </w:r>
      <w:r>
        <w:rPr>
          <w:color w:val="002060"/>
        </w:rPr>
        <w:t xml:space="preserve"> </w:t>
      </w:r>
    </w:p>
    <w:p w:rsidR="008F4BEF" w:rsidRDefault="008F4BEF" w:rsidP="008F4BEF"/>
    <w:p w:rsidR="008F4BEF" w:rsidRDefault="008F4BEF" w:rsidP="008F4BEF"/>
    <w:p w:rsidR="008F4BEF" w:rsidRPr="00E00CCD" w:rsidRDefault="008F4BEF" w:rsidP="008F4BEF">
      <w:pPr>
        <w:pStyle w:val="CCTOCHeading"/>
      </w:pPr>
      <w:bookmarkStart w:id="4" w:name="_Toc409519093"/>
      <w:r w:rsidRPr="00003EF2">
        <w:t>CFPB</w:t>
      </w:r>
      <w:r>
        <w:t xml:space="preserve"> actions</w:t>
      </w:r>
      <w:bookmarkEnd w:id="4"/>
    </w:p>
    <w:p w:rsidR="008F4BEF" w:rsidRPr="00E00CCD" w:rsidRDefault="008F4BEF" w:rsidP="008F4BEF">
      <w:pPr>
        <w:pStyle w:val="CCIssuance"/>
      </w:pPr>
      <w:r w:rsidRPr="00E00CCD">
        <w:t xml:space="preserve">CFPB </w:t>
      </w:r>
      <w:r>
        <w:t>blog</w:t>
      </w:r>
    </w:p>
    <w:p w:rsidR="008F4BEF" w:rsidRPr="000C3FC5" w:rsidRDefault="00123870" w:rsidP="008F4BEF">
      <w:pPr>
        <w:pStyle w:val="CCComment"/>
        <w:rPr>
          <w:b w:val="0"/>
          <w:i w:val="0"/>
          <w:color w:val="002060"/>
        </w:rPr>
      </w:pPr>
      <w:hyperlink r:id="rId13" w:history="1">
        <w:r w:rsidR="008F4BEF" w:rsidRPr="000C3FC5">
          <w:rPr>
            <w:rStyle w:val="Hyperlink"/>
            <w:b w:val="0"/>
            <w:i w:val="0"/>
          </w:rPr>
          <w:t>The launch of the CFPB Financial Coaching Initiative</w:t>
        </w:r>
      </w:hyperlink>
      <w:r w:rsidR="008F4BEF" w:rsidRPr="000C3FC5">
        <w:rPr>
          <w:color w:val="002060"/>
        </w:rPr>
        <w:t xml:space="preserve"> </w:t>
      </w:r>
      <w:r w:rsidR="008F4BEF">
        <w:rPr>
          <w:b w:val="0"/>
          <w:i w:val="0"/>
          <w:color w:val="002060"/>
        </w:rPr>
        <w:t>(The CFPB j</w:t>
      </w:r>
      <w:r w:rsidR="008F4BEF" w:rsidRPr="000C3FC5">
        <w:rPr>
          <w:b w:val="0"/>
          <w:i w:val="0"/>
          <w:color w:val="002060"/>
        </w:rPr>
        <w:t>oined forces with the DOL and more than two dozen non-profit social-services providers to place 60 certified coaches in DOL American Job Centers and community-centered non-profits across the country. These professionals will provide one-on-one free coaching to help these consumers craft a personalized plan for financial success.</w:t>
      </w:r>
      <w:r w:rsidR="008F4BEF">
        <w:rPr>
          <w:b w:val="0"/>
          <w:i w:val="0"/>
          <w:color w:val="002060"/>
        </w:rPr>
        <w:t>)</w:t>
      </w:r>
    </w:p>
    <w:p w:rsidR="008F4BEF" w:rsidRPr="00D67F21" w:rsidRDefault="00123870" w:rsidP="008F4BEF">
      <w:pPr>
        <w:pStyle w:val="CCComment"/>
        <w:rPr>
          <w:b w:val="0"/>
          <w:i w:val="0"/>
          <w:color w:val="auto"/>
        </w:rPr>
      </w:pPr>
      <w:hyperlink r:id="rId14" w:history="1">
        <w:r w:rsidR="008F4BEF" w:rsidRPr="00D67F21">
          <w:rPr>
            <w:rStyle w:val="Hyperlink"/>
            <w:b w:val="0"/>
            <w:i w:val="0"/>
          </w:rPr>
          <w:t>Consumer advisory: Fact-check your specialty consumer report</w:t>
        </w:r>
      </w:hyperlink>
      <w:r w:rsidR="008F4BEF">
        <w:rPr>
          <w:b w:val="0"/>
          <w:i w:val="0"/>
          <w:color w:val="auto"/>
        </w:rPr>
        <w:t xml:space="preserve"> (</w:t>
      </w:r>
      <w:hyperlink r:id="rId15" w:history="1">
        <w:r w:rsidR="008F4BEF" w:rsidRPr="00546E13">
          <w:rPr>
            <w:rStyle w:val="Hyperlink"/>
            <w:b w:val="0"/>
            <w:i w:val="0"/>
          </w:rPr>
          <w:t>Printer-friendly</w:t>
        </w:r>
      </w:hyperlink>
      <w:r w:rsidR="008F4BEF">
        <w:rPr>
          <w:rStyle w:val="EndnoteReference"/>
          <w:b w:val="0"/>
          <w:i w:val="0"/>
          <w:color w:val="auto"/>
        </w:rPr>
        <w:endnoteReference w:id="4"/>
      </w:r>
      <w:r w:rsidR="008F4BEF">
        <w:rPr>
          <w:b w:val="0"/>
          <w:i w:val="0"/>
          <w:color w:val="auto"/>
        </w:rPr>
        <w:t xml:space="preserve"> version for your customers.)</w:t>
      </w:r>
    </w:p>
    <w:p w:rsidR="008F4BEF" w:rsidRPr="000C3FC5" w:rsidRDefault="00123870" w:rsidP="008F4BEF">
      <w:pPr>
        <w:pStyle w:val="CCComment"/>
        <w:rPr>
          <w:b w:val="0"/>
          <w:i w:val="0"/>
          <w:color w:val="002060"/>
        </w:rPr>
      </w:pPr>
      <w:hyperlink r:id="rId16" w:anchor="disqus_thread" w:history="1">
        <w:r w:rsidR="008F4BEF" w:rsidRPr="007533FE">
          <w:rPr>
            <w:rStyle w:val="Hyperlink"/>
            <w:b w:val="0"/>
            <w:i w:val="0"/>
          </w:rPr>
          <w:t>Live from Milwaukee!</w:t>
        </w:r>
      </w:hyperlink>
      <w:r w:rsidR="008F4BEF">
        <w:rPr>
          <w:rStyle w:val="Hyperlink"/>
          <w:b w:val="0"/>
          <w:i w:val="0"/>
        </w:rPr>
        <w:t xml:space="preserve"> </w:t>
      </w:r>
      <w:r w:rsidR="008F4BEF">
        <w:rPr>
          <w:rStyle w:val="Hyperlink"/>
          <w:b w:val="0"/>
          <w:i w:val="0"/>
          <w:color w:val="002060"/>
        </w:rPr>
        <w:t>(A video of the student debt field hearing should be available here soon.)</w:t>
      </w:r>
    </w:p>
    <w:p w:rsidR="008F4BEF" w:rsidRDefault="00123870" w:rsidP="008F4BEF">
      <w:pPr>
        <w:pStyle w:val="CCComment"/>
        <w:rPr>
          <w:b w:val="0"/>
          <w:i w:val="0"/>
          <w:color w:val="auto"/>
        </w:rPr>
      </w:pPr>
      <w:hyperlink r:id="rId17" w:history="1">
        <w:r w:rsidR="008F4BEF" w:rsidRPr="007533FE">
          <w:rPr>
            <w:rStyle w:val="Hyperlink"/>
            <w:b w:val="0"/>
            <w:i w:val="0"/>
          </w:rPr>
          <w:t>Tell us about your student debt stress</w:t>
        </w:r>
      </w:hyperlink>
      <w:r w:rsidR="008F4BEF" w:rsidRPr="000C3FC5">
        <w:rPr>
          <w:rStyle w:val="Hyperlink"/>
          <w:b w:val="0"/>
          <w:i w:val="0"/>
          <w:color w:val="002060"/>
        </w:rPr>
        <w:t xml:space="preserve"> (The CFPB is seeking stories about student debt.)</w:t>
      </w:r>
    </w:p>
    <w:p w:rsidR="008F4BEF" w:rsidRPr="005D78C4" w:rsidRDefault="00123870" w:rsidP="008F4BEF">
      <w:pPr>
        <w:pStyle w:val="CCComment"/>
        <w:rPr>
          <w:b w:val="0"/>
          <w:i w:val="0"/>
          <w:color w:val="auto"/>
        </w:rPr>
      </w:pPr>
      <w:hyperlink r:id="rId18" w:history="1">
        <w:r w:rsidR="008F4BEF" w:rsidRPr="005D78C4">
          <w:rPr>
            <w:rStyle w:val="Hyperlink"/>
            <w:b w:val="0"/>
            <w:i w:val="0"/>
          </w:rPr>
          <w:t>Consumer advisory: Your benefits are protected from garnishment</w:t>
        </w:r>
      </w:hyperlink>
      <w:r w:rsidR="008F4BEF">
        <w:rPr>
          <w:b w:val="0"/>
          <w:i w:val="0"/>
          <w:color w:val="auto"/>
        </w:rPr>
        <w:t xml:space="preserve"> (This blog explains how Social Security and VA benefits are protected from garnishment.) </w:t>
      </w:r>
    </w:p>
    <w:p w:rsidR="008F4BEF" w:rsidRDefault="00123870" w:rsidP="008F4BEF">
      <w:pPr>
        <w:pStyle w:val="CCComment"/>
        <w:rPr>
          <w:b w:val="0"/>
          <w:i w:val="0"/>
          <w:color w:val="000000"/>
        </w:rPr>
      </w:pPr>
      <w:hyperlink r:id="rId19" w:history="1">
        <w:r w:rsidR="008F4BEF" w:rsidRPr="00520A9D">
          <w:rPr>
            <w:rStyle w:val="Hyperlink"/>
            <w:b w:val="0"/>
            <w:i w:val="0"/>
          </w:rPr>
          <w:t>Save the date, Milwaukee</w:t>
        </w:r>
      </w:hyperlink>
      <w:r w:rsidR="008F4BEF">
        <w:rPr>
          <w:b w:val="0"/>
          <w:i w:val="0"/>
          <w:color w:val="000000"/>
        </w:rPr>
        <w:t xml:space="preserve"> (On May 14</w:t>
      </w:r>
      <w:r w:rsidR="008F4BEF" w:rsidRPr="007533FE">
        <w:rPr>
          <w:b w:val="0"/>
          <w:i w:val="0"/>
          <w:color w:val="000000"/>
          <w:vertAlign w:val="superscript"/>
        </w:rPr>
        <w:t>th</w:t>
      </w:r>
      <w:r w:rsidR="008F4BEF">
        <w:rPr>
          <w:b w:val="0"/>
          <w:i w:val="0"/>
          <w:color w:val="000000"/>
        </w:rPr>
        <w:t>, the CFPB held a field hearing on student debt.)</w:t>
      </w:r>
    </w:p>
    <w:p w:rsidR="008F4BEF" w:rsidRDefault="00123870" w:rsidP="008F4BEF">
      <w:pPr>
        <w:pStyle w:val="CCComment"/>
        <w:rPr>
          <w:b w:val="0"/>
          <w:i w:val="0"/>
          <w:color w:val="000000"/>
        </w:rPr>
      </w:pPr>
      <w:hyperlink r:id="rId20" w:history="1">
        <w:r w:rsidR="008F4BEF" w:rsidRPr="00520A9D">
          <w:rPr>
            <w:rStyle w:val="Hyperlink"/>
            <w:b w:val="0"/>
            <w:i w:val="0"/>
          </w:rPr>
          <w:t>We’re making progress toward ensuring fair access to credit</w:t>
        </w:r>
      </w:hyperlink>
      <w:r w:rsidR="008F4BEF">
        <w:rPr>
          <w:b w:val="0"/>
          <w:i w:val="0"/>
          <w:color w:val="000000"/>
        </w:rPr>
        <w:t xml:space="preserve"> (CFPB releases third annual Fair Lending Report.)</w:t>
      </w:r>
    </w:p>
    <w:p w:rsidR="008F4BEF" w:rsidRPr="00546E13" w:rsidRDefault="00123870" w:rsidP="008F4BEF">
      <w:pPr>
        <w:pStyle w:val="CCComment"/>
        <w:rPr>
          <w:b w:val="0"/>
          <w:i w:val="0"/>
          <w:color w:val="000000"/>
        </w:rPr>
      </w:pPr>
      <w:hyperlink r:id="rId21" w:history="1">
        <w:r w:rsidR="008F4BEF" w:rsidRPr="00520A9D">
          <w:rPr>
            <w:rStyle w:val="Hyperlink"/>
            <w:b w:val="0"/>
            <w:i w:val="0"/>
          </w:rPr>
          <w:t>Consumer advisory: You’ve got options when it comes to overdraft</w:t>
        </w:r>
      </w:hyperlink>
      <w:r w:rsidR="008F4BEF">
        <w:rPr>
          <w:rStyle w:val="Hyperlink"/>
          <w:b w:val="0"/>
          <w:i w:val="0"/>
        </w:rPr>
        <w:t xml:space="preserve"> (</w:t>
      </w:r>
      <w:hyperlink r:id="rId22" w:history="1">
        <w:r w:rsidR="008F4BEF" w:rsidRPr="00546E13">
          <w:rPr>
            <w:rStyle w:val="Hyperlink"/>
            <w:b w:val="0"/>
            <w:i w:val="0"/>
          </w:rPr>
          <w:t>Printer-friendly</w:t>
        </w:r>
      </w:hyperlink>
      <w:r w:rsidR="008F4BEF">
        <w:rPr>
          <w:rStyle w:val="EndnoteReference"/>
          <w:b w:val="0"/>
          <w:i w:val="0"/>
        </w:rPr>
        <w:endnoteReference w:id="5"/>
      </w:r>
      <w:r w:rsidR="008F4BEF">
        <w:rPr>
          <w:rStyle w:val="Hyperlink"/>
          <w:b w:val="0"/>
          <w:i w:val="0"/>
        </w:rPr>
        <w:t xml:space="preserve"> </w:t>
      </w:r>
      <w:r w:rsidR="008F4BEF" w:rsidRPr="00546E13">
        <w:rPr>
          <w:rStyle w:val="Hyperlink"/>
          <w:b w:val="0"/>
          <w:i w:val="0"/>
          <w:color w:val="auto"/>
        </w:rPr>
        <w:t>version for your customers.)</w:t>
      </w:r>
    </w:p>
    <w:p w:rsidR="008F4BEF" w:rsidRDefault="00123870" w:rsidP="008F4BEF">
      <w:pPr>
        <w:pStyle w:val="CCComment"/>
        <w:rPr>
          <w:b w:val="0"/>
          <w:i w:val="0"/>
          <w:color w:val="000000"/>
        </w:rPr>
      </w:pPr>
      <w:hyperlink r:id="rId23" w:history="1">
        <w:r w:rsidR="008F4BEF" w:rsidRPr="00520A9D">
          <w:rPr>
            <w:rStyle w:val="Hyperlink"/>
            <w:b w:val="0"/>
            <w:i w:val="0"/>
          </w:rPr>
          <w:t>Here’s what we’re hearing from Servicemembers and their families</w:t>
        </w:r>
      </w:hyperlink>
      <w:r w:rsidR="008F4BEF">
        <w:rPr>
          <w:b w:val="0"/>
          <w:i w:val="0"/>
          <w:color w:val="000000"/>
        </w:rPr>
        <w:t xml:space="preserve"> (CFPB releases third Snapshot of Complaints Received from Servicemembers, Veterans and their Families.)</w:t>
      </w:r>
    </w:p>
    <w:p w:rsidR="008F4BEF" w:rsidRDefault="00123870" w:rsidP="008F4BEF">
      <w:pPr>
        <w:pStyle w:val="CCComment"/>
        <w:rPr>
          <w:b w:val="0"/>
          <w:i w:val="0"/>
          <w:color w:val="000000"/>
        </w:rPr>
      </w:pPr>
      <w:hyperlink r:id="rId24" w:history="1">
        <w:r w:rsidR="008F4BEF" w:rsidRPr="00520A9D">
          <w:rPr>
            <w:rStyle w:val="Hyperlink"/>
            <w:b w:val="0"/>
            <w:i w:val="0"/>
          </w:rPr>
          <w:t>More financial empowerment tools for communities</w:t>
        </w:r>
      </w:hyperlink>
      <w:r w:rsidR="008F4BEF">
        <w:rPr>
          <w:b w:val="0"/>
          <w:i w:val="0"/>
          <w:color w:val="000000"/>
        </w:rPr>
        <w:t xml:space="preserve"> (CFPB expands the </w:t>
      </w:r>
      <w:r w:rsidR="008F4BEF" w:rsidRPr="00BB5727">
        <w:rPr>
          <w:b w:val="0"/>
          <w:color w:val="000000"/>
        </w:rPr>
        <w:t>Your Money, Your Goals</w:t>
      </w:r>
      <w:r w:rsidR="008F4BEF">
        <w:rPr>
          <w:b w:val="0"/>
          <w:i w:val="0"/>
          <w:color w:val="000000"/>
        </w:rPr>
        <w:t xml:space="preserve"> toolkit. </w:t>
      </w:r>
      <w:hyperlink r:id="rId25" w:anchor="workers" w:history="1">
        <w:r w:rsidR="008F4BEF" w:rsidRPr="00546E13">
          <w:rPr>
            <w:rStyle w:val="Hyperlink"/>
            <w:b w:val="0"/>
            <w:i w:val="0"/>
          </w:rPr>
          <w:t>Printer-friendly</w:t>
        </w:r>
      </w:hyperlink>
      <w:r w:rsidR="008F4BEF">
        <w:rPr>
          <w:rStyle w:val="EndnoteReference"/>
          <w:b w:val="0"/>
          <w:i w:val="0"/>
          <w:color w:val="000000"/>
        </w:rPr>
        <w:endnoteReference w:id="6"/>
      </w:r>
      <w:r w:rsidR="008F4BEF">
        <w:rPr>
          <w:b w:val="0"/>
          <w:i w:val="0"/>
          <w:color w:val="000000"/>
        </w:rPr>
        <w:t xml:space="preserve"> version of the “workers” toolkit that can be used to train those who teach workers skills to protect themselves financially.)</w:t>
      </w:r>
    </w:p>
    <w:p w:rsidR="008F4BEF" w:rsidRDefault="00123870" w:rsidP="008F4BEF">
      <w:pPr>
        <w:pStyle w:val="CCComment"/>
        <w:rPr>
          <w:b w:val="0"/>
          <w:i w:val="0"/>
          <w:color w:val="000000"/>
        </w:rPr>
      </w:pPr>
      <w:hyperlink r:id="rId26" w:history="1">
        <w:r w:rsidR="008F4BEF" w:rsidRPr="00520A9D">
          <w:rPr>
            <w:rStyle w:val="Hyperlink"/>
            <w:b w:val="0"/>
            <w:i w:val="0"/>
          </w:rPr>
          <w:t>Millions of consumers will now have access to credit scores and reports through nonprofit counselors</w:t>
        </w:r>
      </w:hyperlink>
      <w:r w:rsidR="008F4BEF">
        <w:rPr>
          <w:b w:val="0"/>
          <w:i w:val="0"/>
          <w:color w:val="000000"/>
        </w:rPr>
        <w:t xml:space="preserve"> (FICO announced it will allow nonprofits counselors to share purchased FICO scores with the consumers to whom they relate.)</w:t>
      </w:r>
    </w:p>
    <w:p w:rsidR="008F4BEF" w:rsidRDefault="008F4BEF" w:rsidP="008F4BEF">
      <w:pPr>
        <w:pStyle w:val="CCComment"/>
        <w:rPr>
          <w:color w:val="002060"/>
        </w:rPr>
      </w:pPr>
      <w:r w:rsidRPr="002B6D28">
        <w:rPr>
          <w:color w:val="002060"/>
        </w:rPr>
        <w:t xml:space="preserve">Comment: </w:t>
      </w:r>
      <w:r>
        <w:rPr>
          <w:color w:val="002060"/>
        </w:rPr>
        <w:t xml:space="preserve">Click </w:t>
      </w:r>
      <w:hyperlink r:id="rId27" w:history="1">
        <w:r w:rsidRPr="007533FE">
          <w:rPr>
            <w:rStyle w:val="Hyperlink"/>
          </w:rPr>
          <w:t>here</w:t>
        </w:r>
      </w:hyperlink>
      <w:r>
        <w:rPr>
          <w:rStyle w:val="EndnoteReference"/>
          <w:color w:val="002060"/>
        </w:rPr>
        <w:endnoteReference w:id="7"/>
      </w:r>
      <w:r>
        <w:rPr>
          <w:color w:val="002060"/>
        </w:rPr>
        <w:t xml:space="preserve"> to go to the CFPB’s blogs sorted by date.</w:t>
      </w:r>
    </w:p>
    <w:p w:rsidR="008F4BEF" w:rsidRDefault="008F4BEF" w:rsidP="008F4BEF">
      <w:pPr>
        <w:pStyle w:val="CCComment"/>
        <w:rPr>
          <w:color w:val="002060"/>
        </w:rPr>
      </w:pPr>
    </w:p>
    <w:p w:rsidR="008F4BEF" w:rsidRPr="00E00CCD" w:rsidRDefault="008F4BEF" w:rsidP="008F4BEF">
      <w:pPr>
        <w:pStyle w:val="CCIssuance"/>
      </w:pPr>
      <w:r w:rsidRPr="00E00CCD">
        <w:t xml:space="preserve">CFPB </w:t>
      </w:r>
      <w:r>
        <w:t>slams Regions on overdraft practices</w:t>
      </w:r>
    </w:p>
    <w:p w:rsidR="008F4BEF" w:rsidRDefault="008F4BEF" w:rsidP="008F4BEF">
      <w:pPr>
        <w:pStyle w:val="CCComment"/>
        <w:rPr>
          <w:b w:val="0"/>
          <w:i w:val="0"/>
          <w:color w:val="000000"/>
        </w:rPr>
      </w:pPr>
      <w:r>
        <w:rPr>
          <w:b w:val="0"/>
          <w:i w:val="0"/>
          <w:color w:val="000000"/>
        </w:rPr>
        <w:t xml:space="preserve">The </w:t>
      </w:r>
      <w:r w:rsidRPr="0049002F">
        <w:rPr>
          <w:b w:val="0"/>
          <w:i w:val="0"/>
          <w:color w:val="000000"/>
        </w:rPr>
        <w:t xml:space="preserve">CFPB took </w:t>
      </w:r>
      <w:hyperlink r:id="rId28" w:history="1">
        <w:r w:rsidRPr="00D064D1">
          <w:rPr>
            <w:rStyle w:val="Hyperlink"/>
            <w:b w:val="0"/>
            <w:i w:val="0"/>
          </w:rPr>
          <w:t>action</w:t>
        </w:r>
      </w:hyperlink>
      <w:r>
        <w:rPr>
          <w:rStyle w:val="EndnoteReference"/>
          <w:b w:val="0"/>
          <w:i w:val="0"/>
          <w:color w:val="000000"/>
        </w:rPr>
        <w:endnoteReference w:id="8"/>
      </w:r>
      <w:r w:rsidRPr="0049002F">
        <w:rPr>
          <w:b w:val="0"/>
          <w:i w:val="0"/>
          <w:color w:val="000000"/>
        </w:rPr>
        <w:t xml:space="preserve"> against Regions Bank for charging overdraft fees to consumers who had not opted-in for overdraft coverage. The bank also charged overdraft and non-sufficient funds fees on its deposit advance product despite claims that it would not. Regions has already refunded hundreds of thousands of consumers approximately $49 million in fees, and the consent order requires the bank to fully refund all remaining consumers. The Bureau also fined the company $7.5 million for its illegal actions.</w:t>
      </w:r>
    </w:p>
    <w:p w:rsidR="008F4BEF" w:rsidRDefault="008F4BEF" w:rsidP="008F4BEF">
      <w:pPr>
        <w:pStyle w:val="CCComment"/>
        <w:rPr>
          <w:color w:val="002060"/>
        </w:rPr>
      </w:pPr>
      <w:r w:rsidRPr="002B6D28">
        <w:rPr>
          <w:color w:val="002060"/>
        </w:rPr>
        <w:t xml:space="preserve">Comment: </w:t>
      </w:r>
      <w:r>
        <w:rPr>
          <w:color w:val="002060"/>
        </w:rPr>
        <w:t>This is the CFPB’s first enforcement action on overdraft fees by a bank. Regions didn’t ask customers if they wanted overdraft service before charging fees, delayed fixing the violation, and misrepresented overdraft and non-sufficient funds fees related to its deposit advance product.</w:t>
      </w:r>
    </w:p>
    <w:p w:rsidR="008F4BEF" w:rsidRDefault="008F4BEF" w:rsidP="008F4BEF">
      <w:pPr>
        <w:pStyle w:val="CCComment"/>
        <w:rPr>
          <w:color w:val="002060"/>
        </w:rPr>
      </w:pPr>
      <w:r>
        <w:rPr>
          <w:color w:val="002060"/>
        </w:rPr>
        <w:t>Action: Review your overdraft practices often to make sure you aren’t the next target for the regulators.</w:t>
      </w:r>
    </w:p>
    <w:p w:rsidR="008F4BEF" w:rsidRDefault="008F4BEF" w:rsidP="008F4BEF">
      <w:pPr>
        <w:pStyle w:val="CCComment"/>
        <w:rPr>
          <w:color w:val="002060"/>
        </w:rPr>
      </w:pPr>
    </w:p>
    <w:p w:rsidR="008F4BEF" w:rsidRPr="00E00CCD" w:rsidRDefault="008F4BEF" w:rsidP="008F4BEF">
      <w:pPr>
        <w:pStyle w:val="CCIssuance"/>
      </w:pPr>
      <w:r w:rsidRPr="00E00CCD">
        <w:t xml:space="preserve">CFPB </w:t>
      </w:r>
      <w:r>
        <w:t>orders road repairs. Yes, road repairs!</w:t>
      </w:r>
    </w:p>
    <w:p w:rsidR="008F4BEF" w:rsidRDefault="008F4BEF" w:rsidP="008F4BEF">
      <w:pPr>
        <w:pStyle w:val="CCComment"/>
        <w:rPr>
          <w:b w:val="0"/>
          <w:i w:val="0"/>
          <w:color w:val="000000"/>
        </w:rPr>
      </w:pPr>
      <w:r>
        <w:rPr>
          <w:b w:val="0"/>
          <w:i w:val="0"/>
          <w:color w:val="000000"/>
        </w:rPr>
        <w:lastRenderedPageBreak/>
        <w:t xml:space="preserve">The </w:t>
      </w:r>
      <w:r w:rsidRPr="000F4407">
        <w:rPr>
          <w:b w:val="0"/>
          <w:i w:val="0"/>
          <w:color w:val="000000"/>
        </w:rPr>
        <w:t>CFPB took action against a land-development company, International Land Consultants, Inc., and several individuals involved in a Tennessee property development known as Hawks Bluff. The CFPB has ordered the respondents to make repairs to roads in the development.</w:t>
      </w:r>
      <w:r>
        <w:rPr>
          <w:b w:val="0"/>
          <w:i w:val="0"/>
          <w:color w:val="000000"/>
        </w:rPr>
        <w:t xml:space="preserve"> </w:t>
      </w:r>
      <w:hyperlink r:id="rId29" w:history="1">
        <w:r w:rsidRPr="00693D52">
          <w:rPr>
            <w:rStyle w:val="Hyperlink"/>
            <w:b w:val="0"/>
            <w:i w:val="0"/>
          </w:rPr>
          <w:t>Administrative Proceeding File No. 2015-CFPB-0010</w:t>
        </w:r>
      </w:hyperlink>
      <w:r>
        <w:rPr>
          <w:b w:val="0"/>
          <w:i w:val="0"/>
          <w:color w:val="000000"/>
        </w:rPr>
        <w:t>.</w:t>
      </w:r>
      <w:r>
        <w:rPr>
          <w:rStyle w:val="EndnoteReference"/>
          <w:b w:val="0"/>
          <w:i w:val="0"/>
          <w:color w:val="000000"/>
        </w:rPr>
        <w:endnoteReference w:id="9"/>
      </w:r>
    </w:p>
    <w:p w:rsidR="008F4BEF" w:rsidRDefault="008F4BEF" w:rsidP="008F4BEF">
      <w:pPr>
        <w:pStyle w:val="CCComment"/>
        <w:rPr>
          <w:color w:val="002060"/>
        </w:rPr>
      </w:pPr>
      <w:r w:rsidRPr="002B6D28">
        <w:rPr>
          <w:color w:val="002060"/>
        </w:rPr>
        <w:t xml:space="preserve">Comment: </w:t>
      </w:r>
      <w:r>
        <w:rPr>
          <w:color w:val="002060"/>
        </w:rPr>
        <w:t xml:space="preserve">When the CFPB was created, we would’ve thought you were lying if you said they’d issue an order for road repairs. Truth truly is stranger than fiction. The action is under the </w:t>
      </w:r>
      <w:r w:rsidRPr="000C4E63">
        <w:rPr>
          <w:color w:val="002060"/>
        </w:rPr>
        <w:t>Interstate Land Sales Full Disclosure Act</w:t>
      </w:r>
      <w:r>
        <w:rPr>
          <w:color w:val="002060"/>
        </w:rPr>
        <w:t>, a statute the CFPB inherited from HUD.</w:t>
      </w:r>
    </w:p>
    <w:p w:rsidR="008F4BEF" w:rsidRDefault="008F4BEF" w:rsidP="008F4BEF">
      <w:pPr>
        <w:pStyle w:val="CCComment"/>
        <w:rPr>
          <w:color w:val="002060"/>
        </w:rPr>
      </w:pPr>
    </w:p>
    <w:p w:rsidR="008F4BEF" w:rsidRPr="00E00CCD" w:rsidRDefault="008F4BEF" w:rsidP="008F4BEF">
      <w:pPr>
        <w:pStyle w:val="CCIssuance"/>
      </w:pPr>
      <w:r w:rsidRPr="00E00CCD">
        <w:t xml:space="preserve">CFPB </w:t>
      </w:r>
      <w:r>
        <w:t>declares 26 million consumers are credit invisible</w:t>
      </w:r>
    </w:p>
    <w:p w:rsidR="008F4BEF" w:rsidRPr="00623E88" w:rsidRDefault="008F4BEF" w:rsidP="008F4BEF">
      <w:pPr>
        <w:pStyle w:val="CCComment"/>
        <w:rPr>
          <w:rFonts w:eastAsia="Times New Roman"/>
          <w:b w:val="0"/>
          <w:i w:val="0"/>
          <w:color w:val="auto"/>
        </w:rPr>
      </w:pPr>
      <w:r>
        <w:rPr>
          <w:b w:val="0"/>
          <w:i w:val="0"/>
          <w:color w:val="000000"/>
        </w:rPr>
        <w:t>The CFPB</w:t>
      </w:r>
      <w:r w:rsidRPr="007E16F8">
        <w:rPr>
          <w:b w:val="0"/>
          <w:i w:val="0"/>
          <w:color w:val="000000"/>
        </w:rPr>
        <w:t xml:space="preserve"> published a </w:t>
      </w:r>
      <w:hyperlink r:id="rId30" w:history="1">
        <w:r w:rsidRPr="007E16F8">
          <w:rPr>
            <w:rStyle w:val="Hyperlink"/>
            <w:b w:val="0"/>
            <w:i w:val="0"/>
          </w:rPr>
          <w:t>report</w:t>
        </w:r>
      </w:hyperlink>
      <w:r>
        <w:rPr>
          <w:rStyle w:val="EndnoteReference"/>
          <w:b w:val="0"/>
          <w:i w:val="0"/>
          <w:color w:val="000000"/>
        </w:rPr>
        <w:endnoteReference w:id="10"/>
      </w:r>
      <w:r w:rsidRPr="007E16F8">
        <w:rPr>
          <w:b w:val="0"/>
          <w:i w:val="0"/>
          <w:color w:val="000000"/>
        </w:rPr>
        <w:t xml:space="preserve"> finding that 26 million Americans are “credit invisible.” This figure indicates that one in every 10 adults do not have any credit history with a nationwide consumer reporting agency. T</w:t>
      </w:r>
      <w:r>
        <w:rPr>
          <w:b w:val="0"/>
          <w:i w:val="0"/>
          <w:color w:val="000000"/>
        </w:rPr>
        <w:t>he report also found that b</w:t>
      </w:r>
      <w:r w:rsidRPr="007E16F8">
        <w:rPr>
          <w:b w:val="0"/>
          <w:i w:val="0"/>
          <w:color w:val="000000"/>
        </w:rPr>
        <w:t>lack consumers, Hispanic consumers, and consumers in low-income neighborhoods are more likely to have no credit history with a nationwide consumer reporting agency or not enough current credit history to produce a credit score.</w:t>
      </w:r>
      <w:r w:rsidRPr="005C7537">
        <w:rPr>
          <w:b w:val="0"/>
          <w:i w:val="0"/>
          <w:color w:val="000000"/>
        </w:rPr>
        <w:t xml:space="preserve">, </w:t>
      </w:r>
    </w:p>
    <w:p w:rsidR="008F4BEF" w:rsidRDefault="008F4BEF" w:rsidP="008F4BEF">
      <w:pPr>
        <w:pStyle w:val="CCComment"/>
        <w:rPr>
          <w:color w:val="002060"/>
        </w:rPr>
      </w:pPr>
      <w:r w:rsidRPr="002B6D28">
        <w:rPr>
          <w:color w:val="002060"/>
        </w:rPr>
        <w:t xml:space="preserve">Comment: </w:t>
      </w:r>
      <w:r>
        <w:rPr>
          <w:color w:val="002060"/>
        </w:rPr>
        <w:t xml:space="preserve">Because nearly 39 percent of the credit invisible Americans were under 25 years old—a group that historically includes large numbers who have no credit history—it seems to us that the 26 million number overstates the problem. However, it is a problem for many and credit invisibility can keep people from accessing many of life’s little necessities such as apartments, homes, cars, and credit cards. Interestingly, recognizing that if you use his cash-based approach to life, you will eventually have no credit score, personal finance guru Dave Ramsey </w:t>
      </w:r>
      <w:hyperlink r:id="rId31" w:history="1">
        <w:r w:rsidRPr="00A77C90">
          <w:rPr>
            <w:rStyle w:val="Hyperlink"/>
          </w:rPr>
          <w:t>explains</w:t>
        </w:r>
      </w:hyperlink>
      <w:r>
        <w:rPr>
          <w:rStyle w:val="EndnoteReference"/>
          <w:color w:val="002060"/>
        </w:rPr>
        <w:endnoteReference w:id="11"/>
      </w:r>
      <w:r>
        <w:rPr>
          <w:color w:val="002060"/>
        </w:rPr>
        <w:t xml:space="preserve"> how to get a home loan without a credit score. He says: “T</w:t>
      </w:r>
      <w:r w:rsidRPr="00A77C90">
        <w:rPr>
          <w:color w:val="002060"/>
        </w:rPr>
        <w:t xml:space="preserve">he unscorable group has grown large enough that it’s getting attention with Experian, Equifax and TransUnion, the three credit bureaus FICO uses to determine its scores. They have developed the </w:t>
      </w:r>
      <w:hyperlink r:id="rId32" w:history="1">
        <w:r w:rsidRPr="00A77C90">
          <w:rPr>
            <w:rStyle w:val="Hyperlink"/>
          </w:rPr>
          <w:t>VantageScore</w:t>
        </w:r>
      </w:hyperlink>
      <w:r>
        <w:rPr>
          <w:rStyle w:val="EndnoteReference"/>
          <w:color w:val="002060"/>
        </w:rPr>
        <w:endnoteReference w:id="12"/>
      </w:r>
      <w:r w:rsidRPr="00A77C90">
        <w:rPr>
          <w:color w:val="002060"/>
        </w:rPr>
        <w:t xml:space="preserve"> model that looks at 24 months of credit history instead of six months. It also includes rent and utility payments—even public records when they’re available.</w:t>
      </w:r>
      <w:r>
        <w:rPr>
          <w:color w:val="002060"/>
        </w:rPr>
        <w:t>”</w:t>
      </w:r>
    </w:p>
    <w:p w:rsidR="008F4BEF" w:rsidRPr="002B6D28" w:rsidRDefault="008F4BEF" w:rsidP="008F4BEF">
      <w:pPr>
        <w:pStyle w:val="CCComment"/>
        <w:rPr>
          <w:color w:val="002060"/>
        </w:rPr>
      </w:pPr>
      <w:r>
        <w:rPr>
          <w:color w:val="002060"/>
        </w:rPr>
        <w:t>Action: We were in a meeting just last week with a banker from a community bank that doesn’t use credit scores. What about your bank? Would you or have you made loans to unscorable customers? If you don’t address unscorables in your policies and training, you at least need to discuss it and document the reasons for your decision. This could be a Fair Lending issue.</w:t>
      </w:r>
    </w:p>
    <w:p w:rsidR="008F4BEF" w:rsidRDefault="008F4BEF" w:rsidP="008F4BEF">
      <w:pPr>
        <w:pStyle w:val="CCComment"/>
        <w:rPr>
          <w:color w:val="002060"/>
        </w:rPr>
      </w:pPr>
    </w:p>
    <w:p w:rsidR="008F4BEF" w:rsidRPr="00E00CCD" w:rsidRDefault="008F4BEF" w:rsidP="008F4BEF">
      <w:pPr>
        <w:pStyle w:val="CCIssuance"/>
      </w:pPr>
      <w:r w:rsidRPr="00E00CCD">
        <w:t xml:space="preserve">CFPB </w:t>
      </w:r>
      <w:r>
        <w:t>reminds creditors to not discriminate against Section 8 vouchers</w:t>
      </w:r>
    </w:p>
    <w:p w:rsidR="008F4BEF" w:rsidRPr="00623E88" w:rsidRDefault="008F4BEF" w:rsidP="008F4BEF">
      <w:pPr>
        <w:pStyle w:val="CCComment"/>
        <w:rPr>
          <w:rFonts w:eastAsia="Times New Roman"/>
          <w:b w:val="0"/>
          <w:i w:val="0"/>
          <w:color w:val="auto"/>
        </w:rPr>
      </w:pPr>
      <w:r>
        <w:rPr>
          <w:b w:val="0"/>
          <w:i w:val="0"/>
          <w:color w:val="000000"/>
        </w:rPr>
        <w:t xml:space="preserve">The CFPB became aware that some institutions were excluding or refusing to consider income derived from the Section 8 Housing Choice Voucher Homeownership Program during mortgage loan application and underwriting processes. The CFPB issued </w:t>
      </w:r>
      <w:hyperlink r:id="rId33" w:history="1">
        <w:r w:rsidRPr="00E212A6">
          <w:rPr>
            <w:rStyle w:val="Hyperlink"/>
            <w:b w:val="0"/>
            <w:i w:val="0"/>
          </w:rPr>
          <w:t>CFPB Bulletin 2015-02</w:t>
        </w:r>
      </w:hyperlink>
      <w:r>
        <w:rPr>
          <w:b w:val="0"/>
          <w:i w:val="0"/>
          <w:color w:val="000000"/>
        </w:rPr>
        <w:t xml:space="preserve"> reminding creditors that ECOA and Regulation B prohibit creditors from discriminating in any aspect of a credit transaction because all or a part of an applicant’s income comes from public assistance.</w:t>
      </w:r>
    </w:p>
    <w:p w:rsidR="008F4BEF" w:rsidRDefault="008F4BEF" w:rsidP="008F4BEF">
      <w:pPr>
        <w:pStyle w:val="CCComment"/>
        <w:rPr>
          <w:color w:val="002060"/>
        </w:rPr>
      </w:pPr>
      <w:r w:rsidRPr="002B6D28">
        <w:rPr>
          <w:color w:val="002060"/>
        </w:rPr>
        <w:t xml:space="preserve">Comment: </w:t>
      </w:r>
      <w:r>
        <w:rPr>
          <w:color w:val="002060"/>
        </w:rPr>
        <w:t>The bulletin provides in part:</w:t>
      </w:r>
    </w:p>
    <w:p w:rsidR="008F4BEF" w:rsidRPr="00501809" w:rsidRDefault="008F4BEF" w:rsidP="008F4BEF">
      <w:pPr>
        <w:pStyle w:val="CCComment"/>
        <w:rPr>
          <w:color w:val="002060"/>
        </w:rPr>
      </w:pPr>
      <w:r w:rsidRPr="00501809">
        <w:rPr>
          <w:color w:val="002060"/>
        </w:rPr>
        <w:t>Disparate treatment prohibited under ECOA and Regulation B may exist when a</w:t>
      </w:r>
      <w:r>
        <w:rPr>
          <w:color w:val="002060"/>
        </w:rPr>
        <w:t xml:space="preserve"> </w:t>
      </w:r>
      <w:r w:rsidRPr="00501809">
        <w:rPr>
          <w:color w:val="002060"/>
        </w:rPr>
        <w:t>creditor treats applicants differently on a prohibited basis, for example, when a creditor</w:t>
      </w:r>
      <w:r>
        <w:rPr>
          <w:color w:val="002060"/>
        </w:rPr>
        <w:t xml:space="preserve"> </w:t>
      </w:r>
      <w:r w:rsidRPr="00501809">
        <w:rPr>
          <w:color w:val="002060"/>
        </w:rPr>
        <w:t>excludes or refuses to consider Section 8 HCV Homeownership Program vouchers as a</w:t>
      </w:r>
      <w:r>
        <w:rPr>
          <w:color w:val="002060"/>
        </w:rPr>
        <w:t xml:space="preserve"> </w:t>
      </w:r>
      <w:r w:rsidRPr="00501809">
        <w:rPr>
          <w:color w:val="002060"/>
        </w:rPr>
        <w:t>source of income or accept the vouchers only for certain mortgage loan products or</w:t>
      </w:r>
      <w:r>
        <w:rPr>
          <w:color w:val="002060"/>
        </w:rPr>
        <w:t xml:space="preserve"> </w:t>
      </w:r>
      <w:r w:rsidRPr="00501809">
        <w:rPr>
          <w:color w:val="002060"/>
        </w:rPr>
        <w:t>delivery channels. ECOA and Regulation B may also be violated if an underwriting</w:t>
      </w:r>
      <w:r>
        <w:rPr>
          <w:color w:val="002060"/>
        </w:rPr>
        <w:t xml:space="preserve"> </w:t>
      </w:r>
      <w:r w:rsidRPr="00501809">
        <w:rPr>
          <w:color w:val="002060"/>
        </w:rPr>
        <w:t>policy regarding income has a disproportionately negative impact on a prohibited basis,</w:t>
      </w:r>
      <w:r>
        <w:rPr>
          <w:color w:val="002060"/>
        </w:rPr>
        <w:t xml:space="preserve"> </w:t>
      </w:r>
      <w:r w:rsidRPr="00501809">
        <w:rPr>
          <w:color w:val="002060"/>
        </w:rPr>
        <w:t>even though the creditor has no intent to discriminate and the practice appears neutral</w:t>
      </w:r>
      <w:r>
        <w:rPr>
          <w:color w:val="002060"/>
        </w:rPr>
        <w:t xml:space="preserve"> </w:t>
      </w:r>
      <w:r w:rsidRPr="00501809">
        <w:rPr>
          <w:color w:val="002060"/>
        </w:rPr>
        <w:t>on its face, unless the creditor practice meets a legitimate business need that cannot</w:t>
      </w:r>
      <w:r>
        <w:rPr>
          <w:color w:val="002060"/>
        </w:rPr>
        <w:t xml:space="preserve"> </w:t>
      </w:r>
      <w:r w:rsidRPr="00501809">
        <w:rPr>
          <w:color w:val="002060"/>
        </w:rPr>
        <w:t>reasonably be achieved as well by means that are l</w:t>
      </w:r>
      <w:r>
        <w:rPr>
          <w:color w:val="002060"/>
        </w:rPr>
        <w:t>ess disparate in their impact.</w:t>
      </w:r>
    </w:p>
    <w:p w:rsidR="008F4BEF" w:rsidRDefault="008F4BEF" w:rsidP="008F4BEF">
      <w:pPr>
        <w:pStyle w:val="CCComment"/>
        <w:rPr>
          <w:color w:val="002060"/>
        </w:rPr>
      </w:pPr>
      <w:r w:rsidRPr="00501809">
        <w:rPr>
          <w:color w:val="002060"/>
        </w:rPr>
        <w:t>An institution’s clear articulation of underwriting policies regarding income derived</w:t>
      </w:r>
      <w:r>
        <w:rPr>
          <w:color w:val="002060"/>
        </w:rPr>
        <w:t xml:space="preserve"> </w:t>
      </w:r>
      <w:r w:rsidRPr="00501809">
        <w:rPr>
          <w:color w:val="002060"/>
        </w:rPr>
        <w:t>from public assistance programs; training of underwriters, mortgage loan originators,</w:t>
      </w:r>
      <w:r>
        <w:rPr>
          <w:color w:val="002060"/>
        </w:rPr>
        <w:t xml:space="preserve"> </w:t>
      </w:r>
      <w:r w:rsidRPr="00501809">
        <w:rPr>
          <w:color w:val="002060"/>
        </w:rPr>
        <w:t>and others involved in mortgage loan origination; and careful monitoring for</w:t>
      </w:r>
      <w:r>
        <w:rPr>
          <w:color w:val="002060"/>
        </w:rPr>
        <w:t xml:space="preserve"> </w:t>
      </w:r>
      <w:r w:rsidRPr="00501809">
        <w:rPr>
          <w:color w:val="002060"/>
        </w:rPr>
        <w:t>compliance with such underwriting policies can all help the institution manage fair</w:t>
      </w:r>
      <w:r>
        <w:rPr>
          <w:color w:val="002060"/>
        </w:rPr>
        <w:t xml:space="preserve"> </w:t>
      </w:r>
      <w:r w:rsidRPr="00501809">
        <w:rPr>
          <w:color w:val="002060"/>
        </w:rPr>
        <w:t>lending risk in this area and comply with the requirements of ECOA and Regulation B.</w:t>
      </w:r>
      <w:r>
        <w:rPr>
          <w:color w:val="002060"/>
        </w:rPr>
        <w:t xml:space="preserve"> </w:t>
      </w:r>
      <w:r w:rsidRPr="00501809">
        <w:rPr>
          <w:color w:val="002060"/>
        </w:rPr>
        <w:t>Such compliance will help increase access to credit for eligible Section 8 HCV</w:t>
      </w:r>
      <w:r>
        <w:rPr>
          <w:color w:val="002060"/>
        </w:rPr>
        <w:t xml:space="preserve"> </w:t>
      </w:r>
      <w:r w:rsidRPr="00501809">
        <w:rPr>
          <w:color w:val="002060"/>
        </w:rPr>
        <w:t>Homeownership Program consumers and open the opportunity of homeownership to</w:t>
      </w:r>
      <w:r>
        <w:rPr>
          <w:color w:val="002060"/>
        </w:rPr>
        <w:t xml:space="preserve"> </w:t>
      </w:r>
      <w:r w:rsidRPr="00501809">
        <w:rPr>
          <w:color w:val="002060"/>
        </w:rPr>
        <w:t>these low-income, first-time homebuyers.</w:t>
      </w:r>
    </w:p>
    <w:p w:rsidR="008F4BEF" w:rsidRDefault="008F4BEF" w:rsidP="008F4BEF">
      <w:pPr>
        <w:pStyle w:val="CCComment"/>
        <w:rPr>
          <w:color w:val="002060"/>
        </w:rPr>
      </w:pPr>
      <w:r>
        <w:rPr>
          <w:color w:val="002060"/>
        </w:rPr>
        <w:lastRenderedPageBreak/>
        <w:t xml:space="preserve">Action: If your underwriting policies and training don’t address public assistance programs, you need to update them </w:t>
      </w:r>
      <w:r w:rsidRPr="00465ED2">
        <w:rPr>
          <w:color w:val="002060"/>
          <w:u w:val="single"/>
        </w:rPr>
        <w:t>now</w:t>
      </w:r>
      <w:r>
        <w:rPr>
          <w:color w:val="002060"/>
        </w:rPr>
        <w:t xml:space="preserve"> or risk a Fair Lending violation.</w:t>
      </w:r>
    </w:p>
    <w:p w:rsidR="008F4BEF" w:rsidRDefault="008F4BEF" w:rsidP="008F4BEF">
      <w:pPr>
        <w:pStyle w:val="CCComment"/>
        <w:rPr>
          <w:color w:val="002060"/>
        </w:rPr>
      </w:pPr>
    </w:p>
    <w:p w:rsidR="008F4BEF" w:rsidRPr="00E00CCD" w:rsidRDefault="008F4BEF" w:rsidP="008F4BEF">
      <w:pPr>
        <w:pStyle w:val="CCIssuance"/>
      </w:pPr>
      <w:r w:rsidRPr="00E00CCD">
        <w:t xml:space="preserve">CFPB </w:t>
      </w:r>
      <w:r>
        <w:t>files lawsuit against biweekly mortgage company</w:t>
      </w:r>
    </w:p>
    <w:p w:rsidR="008F4BEF" w:rsidRPr="004C5CDA" w:rsidRDefault="008F4BEF" w:rsidP="008F4BEF">
      <w:pPr>
        <w:pStyle w:val="CCComment"/>
        <w:rPr>
          <w:b w:val="0"/>
          <w:i w:val="0"/>
          <w:color w:val="002060"/>
        </w:rPr>
      </w:pPr>
      <w:r>
        <w:rPr>
          <w:b w:val="0"/>
          <w:i w:val="0"/>
          <w:color w:val="000000"/>
        </w:rPr>
        <w:t xml:space="preserve">The </w:t>
      </w:r>
      <w:r w:rsidRPr="004C5CDA">
        <w:rPr>
          <w:b w:val="0"/>
          <w:i w:val="0"/>
          <w:color w:val="000000"/>
        </w:rPr>
        <w:t>CFPB filed a lawsuit in federal district court against Nationwide Biweekly Administration, Inc., Loan Payment Administration LLC, and the companies’ owner, Daniel Lipsky, alleging that Nationwide misrepresents the interest savings consumers will achieve through a biweekly mortgage payment program and misleads consumers about the cost of the program. The CFPB is seeking compensation for harmed consumers, a civil penalty, and an injunction against the companies and their owner.</w:t>
      </w:r>
      <w:r>
        <w:rPr>
          <w:b w:val="0"/>
          <w:i w:val="0"/>
          <w:color w:val="000000"/>
        </w:rPr>
        <w:t xml:space="preserve"> </w:t>
      </w:r>
      <w:hyperlink r:id="rId34" w:history="1">
        <w:r w:rsidRPr="004C5CDA">
          <w:rPr>
            <w:rStyle w:val="Hyperlink"/>
            <w:b w:val="0"/>
            <w:i w:val="0"/>
          </w:rPr>
          <w:t>CFPB Press Release</w:t>
        </w:r>
      </w:hyperlink>
      <w:r>
        <w:rPr>
          <w:b w:val="0"/>
          <w:i w:val="0"/>
          <w:color w:val="000000"/>
        </w:rPr>
        <w:t>.</w:t>
      </w:r>
      <w:r>
        <w:rPr>
          <w:rStyle w:val="EndnoteReference"/>
          <w:b w:val="0"/>
          <w:i w:val="0"/>
          <w:color w:val="000000"/>
        </w:rPr>
        <w:endnoteReference w:id="13"/>
      </w:r>
    </w:p>
    <w:p w:rsidR="008F4BEF" w:rsidRDefault="008F4BEF" w:rsidP="008F4BEF">
      <w:pPr>
        <w:pStyle w:val="CCComment"/>
        <w:rPr>
          <w:color w:val="002060"/>
        </w:rPr>
      </w:pPr>
      <w:r w:rsidRPr="002B6D28">
        <w:rPr>
          <w:color w:val="002060"/>
        </w:rPr>
        <w:t xml:space="preserve">Comment: </w:t>
      </w:r>
      <w:r>
        <w:rPr>
          <w:color w:val="002060"/>
        </w:rPr>
        <w:t>This is just a law suit and is not a finding that the company or its owner did anything wrong.</w:t>
      </w:r>
    </w:p>
    <w:p w:rsidR="008F4BEF" w:rsidRDefault="008F4BEF" w:rsidP="008F4BEF">
      <w:pPr>
        <w:pStyle w:val="CCComment"/>
        <w:rPr>
          <w:color w:val="002060"/>
        </w:rPr>
      </w:pPr>
      <w:r>
        <w:rPr>
          <w:color w:val="002060"/>
        </w:rPr>
        <w:t>Action: Warn your customers about unscrupulous bi-weekly mortgage payment businesses. And inform them that they can either (1) make bi-weekly payments without engaging the services of one of these companies or (2) contact their mortgagee themselves to see if they offer a bi-weekly plan. If a customer has a bad experience with a bi-weekly mortgage business, they should contact the agency in your state that regulates money service businesses.</w:t>
      </w:r>
    </w:p>
    <w:p w:rsidR="008F4BEF" w:rsidRDefault="008F4BEF" w:rsidP="008F4BEF">
      <w:pPr>
        <w:pStyle w:val="CCComment"/>
        <w:rPr>
          <w:color w:val="002060"/>
        </w:rPr>
      </w:pPr>
    </w:p>
    <w:p w:rsidR="008F4BEF" w:rsidRPr="00E00CCD" w:rsidRDefault="008F4BEF" w:rsidP="008F4BEF">
      <w:pPr>
        <w:pStyle w:val="CCIssuance"/>
      </w:pPr>
      <w:r w:rsidRPr="00E00CCD">
        <w:t xml:space="preserve">CFPB </w:t>
      </w:r>
      <w:r>
        <w:t>launching inquiry into student loan servicing practices</w:t>
      </w:r>
    </w:p>
    <w:p w:rsidR="008F4BEF" w:rsidRPr="00623E88" w:rsidRDefault="008F4BEF" w:rsidP="008F4BEF">
      <w:pPr>
        <w:pStyle w:val="CCComment"/>
        <w:rPr>
          <w:rFonts w:eastAsia="Times New Roman"/>
          <w:b w:val="0"/>
          <w:i w:val="0"/>
          <w:color w:val="auto"/>
        </w:rPr>
      </w:pPr>
      <w:r>
        <w:rPr>
          <w:b w:val="0"/>
          <w:i w:val="0"/>
          <w:color w:val="000000"/>
        </w:rPr>
        <w:t xml:space="preserve">At the Field Hearing on Student Loans in Milwaukee, CFPB Director Richard Cordray </w:t>
      </w:r>
      <w:hyperlink r:id="rId35" w:history="1">
        <w:r w:rsidRPr="005D78C4">
          <w:rPr>
            <w:rStyle w:val="Hyperlink"/>
            <w:b w:val="0"/>
            <w:i w:val="0"/>
          </w:rPr>
          <w:t>announced</w:t>
        </w:r>
      </w:hyperlink>
      <w:r>
        <w:rPr>
          <w:rStyle w:val="EndnoteReference"/>
          <w:b w:val="0"/>
          <w:i w:val="0"/>
          <w:color w:val="000000"/>
        </w:rPr>
        <w:endnoteReference w:id="14"/>
      </w:r>
      <w:r>
        <w:rPr>
          <w:b w:val="0"/>
          <w:i w:val="0"/>
          <w:color w:val="000000"/>
        </w:rPr>
        <w:t xml:space="preserve"> they were launching a public inquiry into student loan servicing practices. </w:t>
      </w:r>
      <w:r w:rsidRPr="004C5CDA">
        <w:rPr>
          <w:b w:val="0"/>
          <w:i w:val="0"/>
          <w:color w:val="000000"/>
        </w:rPr>
        <w:t>The inquiry seeks information on the hurdles that make repayment a stressful process and even at times a harmful one.</w:t>
      </w:r>
      <w:r>
        <w:rPr>
          <w:b w:val="0"/>
          <w:i w:val="0"/>
          <w:color w:val="000000"/>
        </w:rPr>
        <w:t xml:space="preserve"> According to the CPPB, “t</w:t>
      </w:r>
      <w:r w:rsidRPr="004C5CDA">
        <w:rPr>
          <w:b w:val="0"/>
          <w:i w:val="0"/>
          <w:color w:val="000000"/>
        </w:rPr>
        <w:t xml:space="preserve">he </w:t>
      </w:r>
      <w:hyperlink r:id="rId36" w:history="1">
        <w:r w:rsidRPr="005D78C4">
          <w:rPr>
            <w:rStyle w:val="Hyperlink"/>
            <w:b w:val="0"/>
            <w:i w:val="0"/>
          </w:rPr>
          <w:t>Request for Information</w:t>
        </w:r>
      </w:hyperlink>
      <w:r>
        <w:rPr>
          <w:rStyle w:val="EndnoteReference"/>
          <w:b w:val="0"/>
          <w:i w:val="0"/>
          <w:color w:val="000000"/>
        </w:rPr>
        <w:endnoteReference w:id="15"/>
      </w:r>
      <w:r w:rsidRPr="004C5CDA">
        <w:rPr>
          <w:b w:val="0"/>
          <w:i w:val="0"/>
          <w:color w:val="000000"/>
        </w:rPr>
        <w:t xml:space="preserve"> that the </w:t>
      </w:r>
      <w:r>
        <w:rPr>
          <w:b w:val="0"/>
          <w:i w:val="0"/>
          <w:color w:val="000000"/>
        </w:rPr>
        <w:t xml:space="preserve">CFPB issued </w:t>
      </w:r>
      <w:r w:rsidRPr="004C5CDA">
        <w:rPr>
          <w:b w:val="0"/>
          <w:i w:val="0"/>
          <w:color w:val="000000"/>
        </w:rPr>
        <w:t>is meant to find ways to put the “service” back into the student loan servicing market and help people avoid unnecessary defaults.</w:t>
      </w:r>
      <w:r>
        <w:rPr>
          <w:b w:val="0"/>
          <w:i w:val="0"/>
          <w:color w:val="000000"/>
        </w:rPr>
        <w:t>” The CFPB encourages borrowers to share their stories at consumerfinance.gov, and to get the word out online</w:t>
      </w:r>
      <w:r w:rsidRPr="004C5CDA">
        <w:rPr>
          <w:b w:val="0"/>
          <w:i w:val="0"/>
          <w:color w:val="000000"/>
        </w:rPr>
        <w:t xml:space="preserve"> us</w:t>
      </w:r>
      <w:r>
        <w:rPr>
          <w:b w:val="0"/>
          <w:i w:val="0"/>
          <w:color w:val="000000"/>
        </w:rPr>
        <w:t>ing</w:t>
      </w:r>
      <w:r w:rsidRPr="004C5CDA">
        <w:rPr>
          <w:b w:val="0"/>
          <w:i w:val="0"/>
          <w:color w:val="000000"/>
        </w:rPr>
        <w:t xml:space="preserve"> the hashtag #StudentDebtStress.</w:t>
      </w:r>
    </w:p>
    <w:p w:rsidR="008F4BEF" w:rsidRDefault="008F4BEF" w:rsidP="008F4BEF">
      <w:pPr>
        <w:pStyle w:val="CCComment"/>
        <w:rPr>
          <w:color w:val="002060"/>
        </w:rPr>
      </w:pPr>
      <w:r w:rsidRPr="002B6D28">
        <w:rPr>
          <w:color w:val="002060"/>
        </w:rPr>
        <w:t xml:space="preserve">Comment: </w:t>
      </w:r>
      <w:r>
        <w:rPr>
          <w:color w:val="002060"/>
        </w:rPr>
        <w:t>The CFPB also announced the re-launch of</w:t>
      </w:r>
      <w:r w:rsidRPr="006B2A60">
        <w:rPr>
          <w:color w:val="002060"/>
        </w:rPr>
        <w:t xml:space="preserve"> its </w:t>
      </w:r>
      <w:hyperlink r:id="rId37" w:anchor="Question-1" w:history="1">
        <w:r w:rsidRPr="006B2A60">
          <w:rPr>
            <w:rStyle w:val="Hyperlink"/>
          </w:rPr>
          <w:t>Repay Student Debt</w:t>
        </w:r>
      </w:hyperlink>
      <w:r>
        <w:rPr>
          <w:rStyle w:val="EndnoteReference"/>
          <w:color w:val="002060"/>
        </w:rPr>
        <w:endnoteReference w:id="16"/>
      </w:r>
      <w:r w:rsidRPr="006B2A60">
        <w:rPr>
          <w:color w:val="002060"/>
        </w:rPr>
        <w:t xml:space="preserve"> web tool. This interactive resource navigate</w:t>
      </w:r>
      <w:r>
        <w:rPr>
          <w:color w:val="002060"/>
        </w:rPr>
        <w:t>s</w:t>
      </w:r>
      <w:r w:rsidRPr="006B2A60">
        <w:rPr>
          <w:color w:val="002060"/>
        </w:rPr>
        <w:t xml:space="preserve"> borrowers through their repayment options, especially when facing default. The new version of this tool provides student loan borrowers with sample instructions to send to their student loan servicer to protect themselves against payment processing problems and auto-defaults. It also has information about how to request a lower monthly payment when experiencing financial distress. Student loan borrowers experiencing problems related to repaying student loans or debt collection can also submit a </w:t>
      </w:r>
      <w:hyperlink r:id="rId38" w:anchor="student-loan" w:history="1">
        <w:r w:rsidRPr="006B2A60">
          <w:rPr>
            <w:rStyle w:val="Hyperlink"/>
          </w:rPr>
          <w:t>complaint</w:t>
        </w:r>
      </w:hyperlink>
      <w:r>
        <w:rPr>
          <w:rStyle w:val="EndnoteReference"/>
          <w:color w:val="002060"/>
        </w:rPr>
        <w:endnoteReference w:id="17"/>
      </w:r>
      <w:r w:rsidRPr="006B2A60">
        <w:rPr>
          <w:color w:val="002060"/>
        </w:rPr>
        <w:t xml:space="preserve"> to the CFPB.</w:t>
      </w:r>
    </w:p>
    <w:p w:rsidR="008F4BEF" w:rsidRDefault="008F4BEF" w:rsidP="008F4BEF">
      <w:pPr>
        <w:pStyle w:val="CCComment"/>
        <w:rPr>
          <w:color w:val="002060"/>
        </w:rPr>
      </w:pPr>
      <w:r>
        <w:rPr>
          <w:color w:val="002060"/>
        </w:rPr>
        <w:t>Action: As a service to customers who may have been students within the last five to ten years, you might pass along the above link to the Repay Student Debt web tool.</w:t>
      </w:r>
    </w:p>
    <w:p w:rsidR="008F4BEF" w:rsidRDefault="008F4BEF" w:rsidP="008F4BEF">
      <w:pPr>
        <w:pStyle w:val="CCComment"/>
        <w:rPr>
          <w:b w:val="0"/>
          <w:i w:val="0"/>
          <w:color w:val="auto"/>
        </w:rPr>
      </w:pPr>
    </w:p>
    <w:p w:rsidR="008F4BEF" w:rsidRPr="00E00CCD" w:rsidRDefault="008F4BEF" w:rsidP="008F4BEF">
      <w:pPr>
        <w:pStyle w:val="CCIssuance"/>
      </w:pPr>
      <w:r>
        <w:t>Proposed order against PayPal for illegally signing consumers up for credit</w:t>
      </w:r>
    </w:p>
    <w:p w:rsidR="008F4BEF" w:rsidRDefault="008F4BEF" w:rsidP="008F4BEF">
      <w:pPr>
        <w:pStyle w:val="CCComment"/>
        <w:rPr>
          <w:b w:val="0"/>
          <w:i w:val="0"/>
          <w:color w:val="auto"/>
        </w:rPr>
      </w:pPr>
      <w:r>
        <w:rPr>
          <w:b w:val="0"/>
          <w:i w:val="0"/>
          <w:color w:val="auto"/>
        </w:rPr>
        <w:t xml:space="preserve">The </w:t>
      </w:r>
      <w:r w:rsidRPr="007C2746">
        <w:rPr>
          <w:b w:val="0"/>
          <w:i w:val="0"/>
          <w:color w:val="auto"/>
        </w:rPr>
        <w:t>CFPB filed a complaint and proposed consent order in federal court against PayPal, Inc. for illegally signing up consumers for its online credit product, PayPal Credit, formerly known as Bill Me Later. The CFPB alleges that PayPal deceptively advertised promotional benefits that it failed to honor, signed consumers up for credit without their permission, made them use PayPal Credit instead of their preferred payment method, and then mishandled billing disputes. Under the proposed order, PayPal would pay $15 million in consumer redress and a $10 million penalty, and it would be required to improve its disclosures and procedures.</w:t>
      </w:r>
      <w:r>
        <w:rPr>
          <w:b w:val="0"/>
          <w:i w:val="0"/>
          <w:color w:val="auto"/>
        </w:rPr>
        <w:t xml:space="preserve"> </w:t>
      </w:r>
      <w:r w:rsidRPr="007C2746">
        <w:rPr>
          <w:b w:val="0"/>
          <w:i w:val="0"/>
          <w:color w:val="auto"/>
        </w:rPr>
        <w:t>The proposed consent order is not a finding or ruling that the company has actually violated the law.</w:t>
      </w:r>
      <w:r>
        <w:rPr>
          <w:b w:val="0"/>
          <w:i w:val="0"/>
          <w:color w:val="auto"/>
        </w:rPr>
        <w:t xml:space="preserve"> </w:t>
      </w:r>
      <w:hyperlink r:id="rId39" w:history="1">
        <w:r w:rsidRPr="007C2746">
          <w:rPr>
            <w:rStyle w:val="Hyperlink"/>
            <w:b w:val="0"/>
            <w:i w:val="0"/>
          </w:rPr>
          <w:t>Stipulated Final Judgment and Order</w:t>
        </w:r>
      </w:hyperlink>
      <w:r>
        <w:rPr>
          <w:b w:val="0"/>
          <w:i w:val="0"/>
          <w:color w:val="auto"/>
        </w:rPr>
        <w:t>.</w:t>
      </w:r>
      <w:r>
        <w:rPr>
          <w:rStyle w:val="EndnoteReference"/>
          <w:b w:val="0"/>
          <w:i w:val="0"/>
          <w:color w:val="auto"/>
        </w:rPr>
        <w:endnoteReference w:id="18"/>
      </w:r>
      <w:r>
        <w:rPr>
          <w:b w:val="0"/>
          <w:i w:val="0"/>
          <w:color w:val="auto"/>
        </w:rPr>
        <w:t xml:space="preserve"> </w:t>
      </w:r>
      <w:hyperlink r:id="rId40" w:history="1">
        <w:r w:rsidRPr="007C2746">
          <w:rPr>
            <w:rStyle w:val="Hyperlink"/>
            <w:b w:val="0"/>
            <w:i w:val="0"/>
          </w:rPr>
          <w:t>Complaint</w:t>
        </w:r>
      </w:hyperlink>
      <w:r>
        <w:rPr>
          <w:b w:val="0"/>
          <w:i w:val="0"/>
          <w:color w:val="auto"/>
        </w:rPr>
        <w:t>.</w:t>
      </w:r>
      <w:r>
        <w:rPr>
          <w:rStyle w:val="EndnoteReference"/>
          <w:b w:val="0"/>
          <w:i w:val="0"/>
          <w:color w:val="auto"/>
        </w:rPr>
        <w:endnoteReference w:id="19"/>
      </w:r>
    </w:p>
    <w:p w:rsidR="008F4BEF" w:rsidRDefault="008F4BEF" w:rsidP="008F4BEF">
      <w:pPr>
        <w:pStyle w:val="CCComment"/>
        <w:rPr>
          <w:color w:val="002060"/>
        </w:rPr>
      </w:pPr>
      <w:r>
        <w:rPr>
          <w:color w:val="002060"/>
        </w:rPr>
        <w:t>Action</w:t>
      </w:r>
      <w:r w:rsidRPr="002B6D28">
        <w:rPr>
          <w:color w:val="002060"/>
        </w:rPr>
        <w:t>:</w:t>
      </w:r>
      <w:r>
        <w:rPr>
          <w:color w:val="002060"/>
        </w:rPr>
        <w:t xml:space="preserve"> You might pass this along to your customers who use PayPal to let them know that PayPal may have illegally signed them up for this product. Under the order, PayPal would pay $10MM in customer redress.</w:t>
      </w:r>
    </w:p>
    <w:p w:rsidR="008F4BEF" w:rsidRDefault="008F4BEF" w:rsidP="008F4BEF">
      <w:pPr>
        <w:pStyle w:val="CCComment"/>
        <w:rPr>
          <w:color w:val="002060"/>
        </w:rPr>
      </w:pPr>
    </w:p>
    <w:p w:rsidR="008F4BEF" w:rsidRPr="002B6D28" w:rsidRDefault="008F4BEF" w:rsidP="008F4BEF">
      <w:pPr>
        <w:pStyle w:val="CCTOCHeading"/>
      </w:pPr>
      <w:bookmarkStart w:id="5" w:name="_Toc409519094"/>
      <w:r>
        <w:lastRenderedPageBreak/>
        <w:t>FDIC actions</w:t>
      </w:r>
      <w:bookmarkEnd w:id="5"/>
    </w:p>
    <w:p w:rsidR="008F4BEF" w:rsidRPr="00E00CCD" w:rsidRDefault="008F4BEF" w:rsidP="008F4BEF">
      <w:pPr>
        <w:pStyle w:val="CCIssuance"/>
      </w:pPr>
      <w:r>
        <w:t>FDIC invites institutions to participate in Youth Savings Pilot Program</w:t>
      </w:r>
    </w:p>
    <w:p w:rsidR="008F4BEF" w:rsidRDefault="008F4BEF" w:rsidP="008F4BEF">
      <w:pPr>
        <w:pStyle w:val="CCComment"/>
        <w:rPr>
          <w:rFonts w:eastAsia="Times New Roman"/>
          <w:b w:val="0"/>
          <w:i w:val="0"/>
          <w:color w:val="auto"/>
        </w:rPr>
      </w:pPr>
      <w:r w:rsidRPr="00520A9D">
        <w:rPr>
          <w:rFonts w:eastAsia="Times New Roman"/>
          <w:b w:val="0"/>
          <w:i w:val="0"/>
          <w:color w:val="auto"/>
        </w:rPr>
        <w:t>FDIC-insured institutions are invited to apply to participate in Phase II of the FDIC's Youth Savings Pilot Program, which seeks to identify and highlight promising approaches to offering financial education tied to the opening of safe, low-cost savings accounts for school-aged children. Phase II of the program targets programs during the 2015–16 school year. Pilot participants will be connected with other participants and technical assistance resources. Applications for Phase II are due by June 18, 2015.</w:t>
      </w:r>
      <w:r>
        <w:rPr>
          <w:rFonts w:eastAsia="Times New Roman"/>
          <w:b w:val="0"/>
          <w:i w:val="0"/>
          <w:color w:val="auto"/>
        </w:rPr>
        <w:t xml:space="preserve"> </w:t>
      </w:r>
      <w:hyperlink r:id="rId41" w:history="1">
        <w:r w:rsidRPr="00520A9D">
          <w:rPr>
            <w:rStyle w:val="Hyperlink"/>
            <w:rFonts w:eastAsia="Times New Roman"/>
            <w:b w:val="0"/>
            <w:i w:val="0"/>
          </w:rPr>
          <w:t>FIL-18-2015</w:t>
        </w:r>
      </w:hyperlink>
      <w:r>
        <w:rPr>
          <w:rFonts w:eastAsia="Times New Roman"/>
          <w:b w:val="0"/>
          <w:i w:val="0"/>
          <w:color w:val="auto"/>
        </w:rPr>
        <w:t>.</w:t>
      </w:r>
      <w:r>
        <w:rPr>
          <w:rStyle w:val="EndnoteReference"/>
          <w:rFonts w:eastAsia="Times New Roman"/>
          <w:b w:val="0"/>
          <w:i w:val="0"/>
          <w:color w:val="auto"/>
        </w:rPr>
        <w:endnoteReference w:id="20"/>
      </w:r>
      <w:r>
        <w:rPr>
          <w:rFonts w:eastAsia="Times New Roman"/>
          <w:b w:val="0"/>
          <w:i w:val="0"/>
          <w:color w:val="auto"/>
        </w:rPr>
        <w:t xml:space="preserve"> </w:t>
      </w:r>
      <w:r w:rsidRPr="00FC7E66">
        <w:rPr>
          <w:rFonts w:eastAsia="Times New Roman"/>
          <w:b w:val="0"/>
          <w:i w:val="0"/>
          <w:color w:val="auto"/>
        </w:rPr>
        <w:t>The Office of the Comptroller of the Currency (OCC) today published the latest edition of its Community Developments Investments electronic newsletter entitled "Small Multifamily Rental Property Financing.”</w:t>
      </w:r>
    </w:p>
    <w:p w:rsidR="008F4BEF" w:rsidRDefault="008F4BEF" w:rsidP="008F4BEF">
      <w:pPr>
        <w:pStyle w:val="CCComment"/>
        <w:rPr>
          <w:color w:val="002060"/>
        </w:rPr>
      </w:pPr>
      <w:r w:rsidRPr="002B6D28">
        <w:rPr>
          <w:rFonts w:ascii="Georgia" w:hAnsi="Georgia"/>
          <w:i w:val="0"/>
          <w:noProof/>
          <w:color w:val="002060"/>
          <w:sz w:val="20"/>
          <w:szCs w:val="20"/>
        </w:rPr>
        <w:drawing>
          <wp:inline distT="0" distB="0" distL="0" distR="0" wp14:anchorId="3AAA1B93" wp14:editId="2AF0B62A">
            <wp:extent cx="275590" cy="220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r>
        <w:rPr>
          <w:color w:val="002060"/>
        </w:rPr>
        <w:t>Action</w:t>
      </w:r>
      <w:r w:rsidRPr="002B6D28">
        <w:rPr>
          <w:color w:val="002060"/>
        </w:rPr>
        <w:t xml:space="preserve">: </w:t>
      </w:r>
      <w:r>
        <w:rPr>
          <w:color w:val="002060"/>
        </w:rPr>
        <w:t>If your financial institution</w:t>
      </w:r>
      <w:r w:rsidRPr="002B388F">
        <w:rPr>
          <w:color w:val="002060"/>
        </w:rPr>
        <w:t>, during the 2015–2016</w:t>
      </w:r>
      <w:r>
        <w:rPr>
          <w:color w:val="002060"/>
        </w:rPr>
        <w:t xml:space="preserve"> school year, </w:t>
      </w:r>
      <w:r w:rsidRPr="002B388F">
        <w:rPr>
          <w:color w:val="002060"/>
        </w:rPr>
        <w:t>expect</w:t>
      </w:r>
      <w:r>
        <w:rPr>
          <w:color w:val="002060"/>
        </w:rPr>
        <w:t>s</w:t>
      </w:r>
      <w:r w:rsidRPr="002B388F">
        <w:rPr>
          <w:color w:val="002060"/>
        </w:rPr>
        <w:t xml:space="preserve"> to launch a new program to help</w:t>
      </w:r>
      <w:r>
        <w:rPr>
          <w:color w:val="002060"/>
        </w:rPr>
        <w:t xml:space="preserve"> </w:t>
      </w:r>
      <w:r w:rsidRPr="002B388F">
        <w:rPr>
          <w:color w:val="002060"/>
        </w:rPr>
        <w:t>young people open a savings account in conjunction with</w:t>
      </w:r>
      <w:r>
        <w:rPr>
          <w:color w:val="002060"/>
        </w:rPr>
        <w:t xml:space="preserve"> </w:t>
      </w:r>
      <w:r w:rsidRPr="002B388F">
        <w:rPr>
          <w:color w:val="002060"/>
        </w:rPr>
        <w:t>a financial education program</w:t>
      </w:r>
      <w:r>
        <w:rPr>
          <w:color w:val="002060"/>
        </w:rPr>
        <w:t>, it is eligible to be considered for this second phase.</w:t>
      </w:r>
    </w:p>
    <w:p w:rsidR="008F4BEF" w:rsidRDefault="008F4BEF" w:rsidP="008F4BEF">
      <w:pPr>
        <w:pStyle w:val="CCComment"/>
        <w:rPr>
          <w:color w:val="002060"/>
        </w:rPr>
      </w:pPr>
    </w:p>
    <w:p w:rsidR="008F4BEF" w:rsidRPr="00E00CCD" w:rsidRDefault="008F4BEF" w:rsidP="008F4BEF">
      <w:pPr>
        <w:pStyle w:val="CCIssuance"/>
      </w:pPr>
      <w:r>
        <w:t>FDIC launches Money Smart for Young People</w:t>
      </w:r>
    </w:p>
    <w:p w:rsidR="008F4BEF" w:rsidRDefault="008F4BEF" w:rsidP="008F4BEF">
      <w:pPr>
        <w:pStyle w:val="CCComment"/>
        <w:rPr>
          <w:rFonts w:eastAsia="Times New Roman"/>
          <w:b w:val="0"/>
          <w:i w:val="0"/>
          <w:color w:val="auto"/>
        </w:rPr>
      </w:pPr>
      <w:r>
        <w:rPr>
          <w:rFonts w:eastAsia="Times New Roman"/>
          <w:b w:val="0"/>
          <w:i w:val="0"/>
          <w:color w:val="auto"/>
        </w:rPr>
        <w:t>The FDIC</w:t>
      </w:r>
      <w:r w:rsidRPr="00AD655B">
        <w:rPr>
          <w:rFonts w:eastAsia="Times New Roman"/>
          <w:b w:val="0"/>
          <w:i w:val="0"/>
          <w:color w:val="auto"/>
        </w:rPr>
        <w:t xml:space="preserve"> launched Money Smart for Young People, a series of lesson plans for teachers and new resources for parents to help them teach children about managing money. The free resources are designed to improve financial education and decision-making skills among young people from pre-K through age 20. The FDIC worke</w:t>
      </w:r>
      <w:r>
        <w:rPr>
          <w:rFonts w:eastAsia="Times New Roman"/>
          <w:b w:val="0"/>
          <w:i w:val="0"/>
          <w:color w:val="auto"/>
        </w:rPr>
        <w:t>d in partnership with the CFPB</w:t>
      </w:r>
      <w:r w:rsidRPr="00AD655B">
        <w:rPr>
          <w:rFonts w:eastAsia="Times New Roman"/>
          <w:b w:val="0"/>
          <w:i w:val="0"/>
          <w:color w:val="auto"/>
        </w:rPr>
        <w:t xml:space="preserve"> to develop these educational tools.</w:t>
      </w:r>
      <w:r>
        <w:rPr>
          <w:rFonts w:eastAsia="Times New Roman"/>
          <w:b w:val="0"/>
          <w:i w:val="0"/>
          <w:color w:val="auto"/>
        </w:rPr>
        <w:t xml:space="preserve"> </w:t>
      </w:r>
      <w:hyperlink r:id="rId42" w:history="1">
        <w:r w:rsidRPr="00AD655B">
          <w:rPr>
            <w:rStyle w:val="Hyperlink"/>
            <w:rFonts w:eastAsia="Times New Roman"/>
            <w:b w:val="0"/>
            <w:i w:val="0"/>
          </w:rPr>
          <w:t>Press release</w:t>
        </w:r>
      </w:hyperlink>
      <w:r>
        <w:rPr>
          <w:rFonts w:eastAsia="Times New Roman"/>
          <w:b w:val="0"/>
          <w:i w:val="0"/>
          <w:color w:val="auto"/>
        </w:rPr>
        <w:t>.</w:t>
      </w:r>
      <w:r>
        <w:rPr>
          <w:rStyle w:val="EndnoteReference"/>
          <w:rFonts w:eastAsia="Times New Roman"/>
          <w:b w:val="0"/>
          <w:i w:val="0"/>
          <w:color w:val="auto"/>
        </w:rPr>
        <w:endnoteReference w:id="21"/>
      </w:r>
    </w:p>
    <w:p w:rsidR="008F4BEF" w:rsidRDefault="008F4BEF" w:rsidP="008F4BEF">
      <w:pPr>
        <w:pStyle w:val="CCComment"/>
        <w:rPr>
          <w:color w:val="002060"/>
        </w:rPr>
      </w:pPr>
      <w:r>
        <w:rPr>
          <w:color w:val="002060"/>
        </w:rPr>
        <w:t>Action</w:t>
      </w:r>
      <w:r w:rsidRPr="002B6D28">
        <w:rPr>
          <w:color w:val="002060"/>
        </w:rPr>
        <w:t xml:space="preserve">: </w:t>
      </w:r>
      <w:r w:rsidRPr="002B388F">
        <w:rPr>
          <w:color w:val="002060"/>
        </w:rPr>
        <w:t>The free resources are designed to improve financial education and decision-making skills among young people from pre-K through age 20.</w:t>
      </w:r>
      <w:r>
        <w:rPr>
          <w:color w:val="002060"/>
        </w:rPr>
        <w:t xml:space="preserve"> If you are interested, you can provide these new resources to your customers who are</w:t>
      </w:r>
      <w:r w:rsidRPr="002B388F">
        <w:rPr>
          <w:color w:val="002060"/>
        </w:rPr>
        <w:t xml:space="preserve"> parents</w:t>
      </w:r>
      <w:r>
        <w:rPr>
          <w:color w:val="002060"/>
        </w:rPr>
        <w:t xml:space="preserve"> of pre-K through age 20</w:t>
      </w:r>
      <w:r w:rsidRPr="002B388F">
        <w:rPr>
          <w:color w:val="002060"/>
        </w:rPr>
        <w:t xml:space="preserve"> to help them</w:t>
      </w:r>
      <w:r>
        <w:rPr>
          <w:color w:val="002060"/>
        </w:rPr>
        <w:t xml:space="preserve"> teach their children</w:t>
      </w:r>
      <w:r w:rsidRPr="002B388F">
        <w:rPr>
          <w:color w:val="002060"/>
        </w:rPr>
        <w:t xml:space="preserve"> about managing money.</w:t>
      </w:r>
    </w:p>
    <w:p w:rsidR="008F4BEF" w:rsidRDefault="008F4BEF" w:rsidP="008F4BEF">
      <w:pPr>
        <w:pStyle w:val="CCComment"/>
        <w:rPr>
          <w:color w:val="002060"/>
        </w:rPr>
      </w:pPr>
    </w:p>
    <w:p w:rsidR="008F4BEF" w:rsidRPr="0036757F" w:rsidRDefault="008F4BEF" w:rsidP="008F4BEF">
      <w:pPr>
        <w:pStyle w:val="CCTOCHeading"/>
      </w:pPr>
      <w:bookmarkStart w:id="6" w:name="_Toc409519095"/>
      <w:r>
        <w:t>OCC actions</w:t>
      </w:r>
      <w:bookmarkEnd w:id="6"/>
    </w:p>
    <w:p w:rsidR="008F4BEF" w:rsidRDefault="008F4BEF" w:rsidP="008F4BEF">
      <w:pPr>
        <w:pStyle w:val="CCComment"/>
        <w:rPr>
          <w:rFonts w:ascii="ITC Avant Garde Gothic" w:eastAsia="Times New Roman" w:hAnsi="ITC Avant Garde Gothic"/>
          <w:i w:val="0"/>
          <w:color w:val="595959" w:themeColor="text1" w:themeTint="A6"/>
          <w:sz w:val="24"/>
          <w:szCs w:val="24"/>
        </w:rPr>
      </w:pPr>
      <w:r>
        <w:rPr>
          <w:rFonts w:ascii="ITC Avant Garde Gothic" w:eastAsia="Times New Roman" w:hAnsi="ITC Avant Garde Gothic"/>
          <w:i w:val="0"/>
          <w:color w:val="595959" w:themeColor="text1" w:themeTint="A6"/>
          <w:sz w:val="24"/>
          <w:szCs w:val="24"/>
        </w:rPr>
        <w:t>OCC Southern District reports improving conditions</w:t>
      </w:r>
    </w:p>
    <w:p w:rsidR="008F4BEF" w:rsidRDefault="008F4BEF" w:rsidP="008F4BEF">
      <w:pPr>
        <w:pStyle w:val="CCComment"/>
        <w:rPr>
          <w:rFonts w:eastAsia="Times New Roman"/>
          <w:b w:val="0"/>
          <w:i w:val="0"/>
          <w:color w:val="auto"/>
        </w:rPr>
      </w:pPr>
      <w:r>
        <w:rPr>
          <w:rFonts w:eastAsia="Times New Roman"/>
          <w:b w:val="0"/>
          <w:i w:val="0"/>
          <w:color w:val="auto"/>
        </w:rPr>
        <w:t xml:space="preserve">The </w:t>
      </w:r>
      <w:r w:rsidRPr="00D064D1">
        <w:rPr>
          <w:rFonts w:eastAsia="Times New Roman"/>
          <w:b w:val="0"/>
          <w:i w:val="0"/>
          <w:color w:val="auto"/>
        </w:rPr>
        <w:t>OCC reported improving conditions among community national banks and fe</w:t>
      </w:r>
      <w:r>
        <w:rPr>
          <w:rFonts w:eastAsia="Times New Roman"/>
          <w:b w:val="0"/>
          <w:i w:val="0"/>
          <w:color w:val="auto"/>
        </w:rPr>
        <w:t>deral savings associations</w:t>
      </w:r>
      <w:r w:rsidRPr="00D064D1">
        <w:rPr>
          <w:rFonts w:eastAsia="Times New Roman"/>
          <w:b w:val="0"/>
          <w:i w:val="0"/>
          <w:color w:val="auto"/>
        </w:rPr>
        <w:t xml:space="preserve"> in the nine states that make up the </w:t>
      </w:r>
      <w:r>
        <w:rPr>
          <w:rFonts w:eastAsia="Times New Roman"/>
          <w:b w:val="0"/>
          <w:i w:val="0"/>
          <w:color w:val="auto"/>
        </w:rPr>
        <w:t xml:space="preserve">OCC’s Southern District. </w:t>
      </w:r>
      <w:r w:rsidRPr="00D064D1">
        <w:rPr>
          <w:rFonts w:eastAsia="Times New Roman"/>
          <w:b w:val="0"/>
          <w:i w:val="0"/>
          <w:color w:val="auto"/>
        </w:rPr>
        <w:t>As of December 31, 2014, 91 percent of the 455 banks and FSAs in Alabama, Arkansas, Florida, Georgia, Louisiana, Mississippi, Oklahoma, Tennessee, and Texas had a composite rating of 1 or 2—the top ratings in the five-point scale indicating an institution’s health. The strength of this banking sector stems from strong loan growth in each of the nine states.</w:t>
      </w:r>
      <w:r>
        <w:rPr>
          <w:rFonts w:eastAsia="Times New Roman"/>
          <w:b w:val="0"/>
          <w:i w:val="0"/>
          <w:color w:val="auto"/>
        </w:rPr>
        <w:t xml:space="preserve"> </w:t>
      </w:r>
      <w:hyperlink r:id="rId43" w:history="1">
        <w:r w:rsidRPr="00D064D1">
          <w:rPr>
            <w:rStyle w:val="Hyperlink"/>
            <w:rFonts w:eastAsia="Times New Roman"/>
            <w:b w:val="0"/>
            <w:i w:val="0"/>
          </w:rPr>
          <w:t xml:space="preserve">NR </w:t>
        </w:r>
        <w:r w:rsidRPr="008071EF">
          <w:rPr>
            <w:rStyle w:val="Hyperlink"/>
            <w:rFonts w:eastAsia="Times New Roman"/>
            <w:b w:val="0"/>
            <w:i w:val="0"/>
          </w:rPr>
          <w:t>2015</w:t>
        </w:r>
        <w:r w:rsidRPr="00D064D1">
          <w:rPr>
            <w:rStyle w:val="Hyperlink"/>
            <w:rFonts w:eastAsia="Times New Roman"/>
            <w:b w:val="0"/>
            <w:i w:val="0"/>
          </w:rPr>
          <w:t>-63</w:t>
        </w:r>
      </w:hyperlink>
      <w:r>
        <w:rPr>
          <w:rFonts w:eastAsia="Times New Roman"/>
          <w:b w:val="0"/>
          <w:i w:val="0"/>
          <w:color w:val="auto"/>
        </w:rPr>
        <w:t>.</w:t>
      </w:r>
      <w:r>
        <w:rPr>
          <w:rStyle w:val="EndnoteReference"/>
          <w:rFonts w:eastAsia="Times New Roman"/>
          <w:b w:val="0"/>
          <w:i w:val="0"/>
          <w:color w:val="auto"/>
        </w:rPr>
        <w:endnoteReference w:id="22"/>
      </w:r>
    </w:p>
    <w:p w:rsidR="008F4BEF" w:rsidRDefault="008F4BEF" w:rsidP="008F4BEF">
      <w:pPr>
        <w:pStyle w:val="CCComment"/>
        <w:rPr>
          <w:color w:val="002060"/>
        </w:rPr>
      </w:pPr>
    </w:p>
    <w:p w:rsidR="008F4BEF" w:rsidRDefault="008F4BEF" w:rsidP="008F4BEF">
      <w:pPr>
        <w:pStyle w:val="CCComment"/>
        <w:rPr>
          <w:rFonts w:ascii="ITC Avant Garde Gothic" w:eastAsia="Times New Roman" w:hAnsi="ITC Avant Garde Gothic"/>
          <w:i w:val="0"/>
          <w:color w:val="595959" w:themeColor="text1" w:themeTint="A6"/>
          <w:sz w:val="24"/>
          <w:szCs w:val="24"/>
        </w:rPr>
      </w:pPr>
      <w:r>
        <w:rPr>
          <w:rFonts w:ascii="ITC Avant Garde Gothic" w:eastAsia="Times New Roman" w:hAnsi="ITC Avant Garde Gothic"/>
          <w:i w:val="0"/>
          <w:color w:val="595959" w:themeColor="text1" w:themeTint="A6"/>
          <w:sz w:val="24"/>
          <w:szCs w:val="24"/>
        </w:rPr>
        <w:t>OCC bulletin on revised interagency compliance examination procedures</w:t>
      </w:r>
    </w:p>
    <w:p w:rsidR="008F4BEF" w:rsidRDefault="008F4BEF" w:rsidP="008F4BEF">
      <w:pPr>
        <w:pStyle w:val="CCComment"/>
        <w:rPr>
          <w:rFonts w:eastAsia="Times New Roman"/>
          <w:b w:val="0"/>
          <w:i w:val="0"/>
          <w:color w:val="auto"/>
        </w:rPr>
      </w:pPr>
      <w:r w:rsidRPr="00693D52">
        <w:rPr>
          <w:rFonts w:eastAsia="Times New Roman"/>
          <w:b w:val="0"/>
          <w:i w:val="0"/>
          <w:color w:val="auto"/>
        </w:rPr>
        <w:t xml:space="preserve">The Task Force on Consumer Compliance of the </w:t>
      </w:r>
      <w:r>
        <w:rPr>
          <w:rFonts w:eastAsia="Times New Roman"/>
          <w:b w:val="0"/>
          <w:i w:val="0"/>
          <w:color w:val="auto"/>
        </w:rPr>
        <w:t>FFIEC recently developed</w:t>
      </w:r>
      <w:r w:rsidRPr="00693D52">
        <w:rPr>
          <w:rFonts w:eastAsia="Times New Roman"/>
          <w:b w:val="0"/>
          <w:i w:val="0"/>
          <w:color w:val="auto"/>
        </w:rPr>
        <w:t xml:space="preserve"> interag</w:t>
      </w:r>
      <w:r>
        <w:rPr>
          <w:rFonts w:eastAsia="Times New Roman"/>
          <w:b w:val="0"/>
          <w:i w:val="0"/>
          <w:color w:val="auto"/>
        </w:rPr>
        <w:t>ency examination procedures for TILA and RESPA. The</w:t>
      </w:r>
      <w:r w:rsidRPr="00693D52">
        <w:rPr>
          <w:rFonts w:eastAsia="Times New Roman"/>
          <w:b w:val="0"/>
          <w:i w:val="0"/>
          <w:color w:val="auto"/>
        </w:rPr>
        <w:t xml:space="preserve"> procedures reflect </w:t>
      </w:r>
      <w:r>
        <w:rPr>
          <w:rFonts w:eastAsia="Times New Roman"/>
          <w:b w:val="0"/>
          <w:i w:val="0"/>
          <w:color w:val="auto"/>
        </w:rPr>
        <w:t>CFPB amendments to the TILA and RESPA rules</w:t>
      </w:r>
      <w:r w:rsidRPr="00693D52">
        <w:rPr>
          <w:rFonts w:eastAsia="Times New Roman"/>
          <w:b w:val="0"/>
          <w:i w:val="0"/>
          <w:color w:val="auto"/>
        </w:rPr>
        <w:t xml:space="preserve"> published in the Federal Register in December 2013 and February 2015. Most of the changes to the procedures relate to the integrated mortgage disclosure requirements under TILA and RESPA, commonly referred</w:t>
      </w:r>
      <w:r>
        <w:rPr>
          <w:rFonts w:eastAsia="Times New Roman"/>
          <w:b w:val="0"/>
          <w:i w:val="0"/>
          <w:color w:val="auto"/>
        </w:rPr>
        <w:t xml:space="preserve"> to as the “TRID” requirements. </w:t>
      </w:r>
      <w:hyperlink r:id="rId44" w:history="1">
        <w:r w:rsidRPr="00693D52">
          <w:rPr>
            <w:rStyle w:val="Hyperlink"/>
            <w:rFonts w:eastAsia="Times New Roman"/>
            <w:b w:val="0"/>
            <w:i w:val="0"/>
          </w:rPr>
          <w:t>OCC Bulletin 2015-27</w:t>
        </w:r>
      </w:hyperlink>
      <w:r>
        <w:rPr>
          <w:rStyle w:val="EndnoteReference"/>
          <w:rFonts w:eastAsia="Times New Roman"/>
          <w:b w:val="0"/>
          <w:i w:val="0"/>
          <w:color w:val="auto"/>
        </w:rPr>
        <w:endnoteReference w:id="23"/>
      </w:r>
      <w:r w:rsidRPr="00693D52">
        <w:rPr>
          <w:rFonts w:eastAsia="Times New Roman"/>
          <w:b w:val="0"/>
          <w:i w:val="0"/>
          <w:color w:val="auto"/>
        </w:rPr>
        <w:t>ma</w:t>
      </w:r>
      <w:r>
        <w:rPr>
          <w:rFonts w:eastAsia="Times New Roman"/>
          <w:b w:val="0"/>
          <w:i w:val="0"/>
          <w:color w:val="auto"/>
        </w:rPr>
        <w:t xml:space="preserve">kes available on the </w:t>
      </w:r>
      <w:r w:rsidRPr="00693D52">
        <w:rPr>
          <w:rFonts w:eastAsia="Times New Roman"/>
          <w:b w:val="0"/>
          <w:i w:val="0"/>
          <w:color w:val="auto"/>
        </w:rPr>
        <w:t>OCC Web site the revised interagency procedures for the new and am</w:t>
      </w:r>
      <w:r>
        <w:rPr>
          <w:rFonts w:eastAsia="Times New Roman"/>
          <w:b w:val="0"/>
          <w:i w:val="0"/>
          <w:color w:val="auto"/>
        </w:rPr>
        <w:t>ended requirements for Reg.</w:t>
      </w:r>
      <w:r w:rsidRPr="00693D52">
        <w:rPr>
          <w:rFonts w:eastAsia="Times New Roman"/>
          <w:b w:val="0"/>
          <w:i w:val="0"/>
          <w:color w:val="auto"/>
        </w:rPr>
        <w:t xml:space="preserve"> Z and X, which go into effect August 1, 2015. OCC examiners will use these procedures beginning August 1, 2015.</w:t>
      </w:r>
      <w:r>
        <w:rPr>
          <w:rFonts w:eastAsia="Times New Roman"/>
          <w:b w:val="0"/>
          <w:i w:val="0"/>
          <w:color w:val="auto"/>
        </w:rPr>
        <w:t xml:space="preserve"> </w:t>
      </w:r>
    </w:p>
    <w:p w:rsidR="008F4BEF" w:rsidRPr="00CD67F7" w:rsidRDefault="00123870" w:rsidP="008F4BEF">
      <w:pPr>
        <w:numPr>
          <w:ilvl w:val="0"/>
          <w:numId w:val="45"/>
        </w:numPr>
        <w:spacing w:before="100" w:beforeAutospacing="1" w:after="100" w:afterAutospacing="1"/>
        <w:rPr>
          <w:rFonts w:ascii="Calibri Light" w:hAnsi="Calibri Light" w:cs="Arial"/>
          <w:color w:val="0000FF"/>
        </w:rPr>
      </w:pPr>
      <w:hyperlink r:id="rId45" w:tgtFrame="_blank" w:history="1">
        <w:r w:rsidR="008F4BEF" w:rsidRPr="00CD67F7">
          <w:rPr>
            <w:rStyle w:val="Hyperlink"/>
            <w:rFonts w:ascii="Calibri Light" w:hAnsi="Calibri Light" w:cs="Arial"/>
          </w:rPr>
          <w:t>Interagency TILA/Regulation Z Examination Manual Narrative</w:t>
        </w:r>
      </w:hyperlink>
      <w:r w:rsidR="008F4BEF" w:rsidRPr="00CD67F7">
        <w:rPr>
          <w:rStyle w:val="apple-converted-space"/>
          <w:rFonts w:ascii="Calibri Light" w:hAnsi="Calibri Light" w:cs="Arial"/>
          <w:color w:val="0000FF"/>
        </w:rPr>
        <w:t> </w:t>
      </w:r>
      <w:r w:rsidR="008F4BEF" w:rsidRPr="00CD67F7">
        <w:rPr>
          <w:rFonts w:ascii="Calibri Light" w:hAnsi="Calibri Light" w:cs="Arial"/>
          <w:color w:val="0000FF"/>
        </w:rPr>
        <w:t>(PDF)</w:t>
      </w:r>
    </w:p>
    <w:p w:rsidR="008F4BEF" w:rsidRPr="00CD67F7" w:rsidRDefault="00123870" w:rsidP="008F4BEF">
      <w:pPr>
        <w:numPr>
          <w:ilvl w:val="0"/>
          <w:numId w:val="45"/>
        </w:numPr>
        <w:spacing w:before="100" w:beforeAutospacing="1" w:after="100" w:afterAutospacing="1"/>
        <w:rPr>
          <w:rFonts w:ascii="Calibri Light" w:hAnsi="Calibri Light" w:cs="Arial"/>
          <w:color w:val="0000FF"/>
        </w:rPr>
      </w:pPr>
      <w:hyperlink r:id="rId46" w:tgtFrame="_blank" w:history="1">
        <w:r w:rsidR="008F4BEF" w:rsidRPr="00CD67F7">
          <w:rPr>
            <w:rStyle w:val="Hyperlink"/>
            <w:rFonts w:ascii="Calibri Light" w:hAnsi="Calibri Light" w:cs="Arial"/>
          </w:rPr>
          <w:t>Interagency TILA/Regulation Z Examination Procedures</w:t>
        </w:r>
      </w:hyperlink>
      <w:r w:rsidR="008F4BEF" w:rsidRPr="00CD67F7">
        <w:rPr>
          <w:rStyle w:val="apple-converted-space"/>
          <w:rFonts w:ascii="Calibri Light" w:hAnsi="Calibri Light" w:cs="Arial"/>
          <w:color w:val="0000FF"/>
        </w:rPr>
        <w:t> </w:t>
      </w:r>
      <w:r w:rsidR="008F4BEF" w:rsidRPr="00CD67F7">
        <w:rPr>
          <w:rFonts w:ascii="Calibri Light" w:hAnsi="Calibri Light" w:cs="Arial"/>
          <w:color w:val="0000FF"/>
        </w:rPr>
        <w:t>(PDF)</w:t>
      </w:r>
    </w:p>
    <w:p w:rsidR="008F4BEF" w:rsidRPr="00CD67F7" w:rsidRDefault="00123870" w:rsidP="008F4BEF">
      <w:pPr>
        <w:numPr>
          <w:ilvl w:val="0"/>
          <w:numId w:val="45"/>
        </w:numPr>
        <w:spacing w:before="100" w:beforeAutospacing="1" w:after="100" w:afterAutospacing="1"/>
        <w:rPr>
          <w:rFonts w:ascii="Calibri Light" w:hAnsi="Calibri Light" w:cs="Arial"/>
          <w:color w:val="0000FF"/>
        </w:rPr>
      </w:pPr>
      <w:hyperlink r:id="rId47" w:tgtFrame="_blank" w:history="1">
        <w:r w:rsidR="008F4BEF" w:rsidRPr="00CD67F7">
          <w:rPr>
            <w:rStyle w:val="Hyperlink"/>
            <w:rFonts w:ascii="Calibri Light" w:hAnsi="Calibri Light" w:cs="Arial"/>
          </w:rPr>
          <w:t>Interagency RESPA/Regulation X Examination Manual Narrative</w:t>
        </w:r>
      </w:hyperlink>
      <w:r w:rsidR="008F4BEF" w:rsidRPr="00CD67F7">
        <w:rPr>
          <w:rStyle w:val="apple-converted-space"/>
          <w:rFonts w:ascii="Calibri Light" w:hAnsi="Calibri Light" w:cs="Arial"/>
          <w:color w:val="0000FF"/>
        </w:rPr>
        <w:t> </w:t>
      </w:r>
      <w:r w:rsidR="008F4BEF" w:rsidRPr="00CD67F7">
        <w:rPr>
          <w:rFonts w:ascii="Calibri Light" w:hAnsi="Calibri Light" w:cs="Arial"/>
          <w:color w:val="0000FF"/>
        </w:rPr>
        <w:t>(PDF)</w:t>
      </w:r>
    </w:p>
    <w:p w:rsidR="008F4BEF" w:rsidRPr="00CD67F7" w:rsidRDefault="00123870" w:rsidP="008F4BEF">
      <w:pPr>
        <w:numPr>
          <w:ilvl w:val="0"/>
          <w:numId w:val="45"/>
        </w:numPr>
        <w:spacing w:before="100" w:beforeAutospacing="1" w:after="100" w:afterAutospacing="1"/>
        <w:rPr>
          <w:rFonts w:ascii="Calibri Light" w:hAnsi="Calibri Light" w:cs="Arial"/>
          <w:color w:val="0000FF"/>
        </w:rPr>
      </w:pPr>
      <w:hyperlink r:id="rId48" w:tgtFrame="_blank" w:history="1">
        <w:r w:rsidR="008F4BEF" w:rsidRPr="00CD67F7">
          <w:rPr>
            <w:rStyle w:val="Hyperlink"/>
            <w:rFonts w:ascii="Calibri Light" w:hAnsi="Calibri Light" w:cs="Arial"/>
          </w:rPr>
          <w:t>Interagency RESPA/Regulation X Examination Procedures</w:t>
        </w:r>
      </w:hyperlink>
      <w:r w:rsidR="008F4BEF" w:rsidRPr="00CD67F7">
        <w:rPr>
          <w:rStyle w:val="apple-converted-space"/>
          <w:rFonts w:ascii="Calibri Light" w:hAnsi="Calibri Light" w:cs="Arial"/>
          <w:color w:val="0000FF"/>
        </w:rPr>
        <w:t> </w:t>
      </w:r>
      <w:r w:rsidR="008F4BEF" w:rsidRPr="00CD67F7">
        <w:rPr>
          <w:rFonts w:ascii="Calibri Light" w:hAnsi="Calibri Light" w:cs="Arial"/>
          <w:color w:val="0000FF"/>
        </w:rPr>
        <w:t>(PDF)</w:t>
      </w:r>
    </w:p>
    <w:p w:rsidR="008F4BEF" w:rsidRDefault="008F4BEF" w:rsidP="008F4BEF">
      <w:pPr>
        <w:pStyle w:val="CCComment"/>
        <w:rPr>
          <w:color w:val="002060"/>
        </w:rPr>
      </w:pPr>
      <w:r w:rsidRPr="002B6D28">
        <w:rPr>
          <w:color w:val="002060"/>
        </w:rPr>
        <w:t>Comment</w:t>
      </w:r>
      <w:r>
        <w:rPr>
          <w:color w:val="002060"/>
        </w:rPr>
        <w:t xml:space="preserve">: </w:t>
      </w:r>
      <w:r w:rsidRPr="00E861EE">
        <w:rPr>
          <w:color w:val="002060"/>
        </w:rPr>
        <w:t>These interagency procedures reflect</w:t>
      </w:r>
      <w:r>
        <w:rPr>
          <w:color w:val="002060"/>
        </w:rPr>
        <w:t>:</w:t>
      </w:r>
    </w:p>
    <w:p w:rsidR="008F4BEF" w:rsidRPr="00E861EE" w:rsidRDefault="008F4BEF" w:rsidP="008F4BEF">
      <w:pPr>
        <w:pStyle w:val="CCComment"/>
        <w:numPr>
          <w:ilvl w:val="0"/>
          <w:numId w:val="49"/>
        </w:numPr>
        <w:rPr>
          <w:color w:val="002060"/>
        </w:rPr>
      </w:pPr>
      <w:r w:rsidRPr="00E861EE">
        <w:rPr>
          <w:color w:val="002060"/>
        </w:rPr>
        <w:t>new requirements for integrated mortgage loan disclosures under TILA and RESPA.</w:t>
      </w:r>
    </w:p>
    <w:p w:rsidR="008F4BEF" w:rsidRPr="00E861EE" w:rsidRDefault="008F4BEF" w:rsidP="008F4BEF">
      <w:pPr>
        <w:pStyle w:val="CCComment"/>
        <w:numPr>
          <w:ilvl w:val="0"/>
          <w:numId w:val="49"/>
        </w:numPr>
        <w:rPr>
          <w:color w:val="002060"/>
        </w:rPr>
      </w:pPr>
      <w:r w:rsidRPr="00E861EE">
        <w:rPr>
          <w:color w:val="002060"/>
        </w:rPr>
        <w:t>amendments to Regulation Z that extend the post-rate lock timing for a revised loan estimate.</w:t>
      </w:r>
    </w:p>
    <w:p w:rsidR="008F4BEF" w:rsidRDefault="008F4BEF" w:rsidP="008F4BEF">
      <w:pPr>
        <w:pStyle w:val="CCComment"/>
        <w:numPr>
          <w:ilvl w:val="0"/>
          <w:numId w:val="49"/>
        </w:numPr>
        <w:rPr>
          <w:color w:val="002060"/>
        </w:rPr>
      </w:pPr>
      <w:r w:rsidRPr="00E861EE">
        <w:rPr>
          <w:color w:val="002060"/>
        </w:rPr>
        <w:t>special provisions on certain construction loans.</w:t>
      </w:r>
    </w:p>
    <w:p w:rsidR="008F4BEF" w:rsidRDefault="008F4BEF" w:rsidP="008F4BEF">
      <w:pPr>
        <w:pStyle w:val="CCIssuance"/>
      </w:pPr>
    </w:p>
    <w:p w:rsidR="008F4BEF" w:rsidRPr="00E00CCD" w:rsidRDefault="008F4BEF" w:rsidP="008F4BEF">
      <w:pPr>
        <w:pStyle w:val="CCIssuance"/>
      </w:pPr>
      <w:r>
        <w:t>OCC publishes latest edition of Community Developments Investments</w:t>
      </w:r>
    </w:p>
    <w:p w:rsidR="008F4BEF" w:rsidRDefault="008F4BEF" w:rsidP="008F4BEF">
      <w:pPr>
        <w:pStyle w:val="CCComment"/>
        <w:rPr>
          <w:rFonts w:eastAsia="Times New Roman"/>
          <w:b w:val="0"/>
          <w:i w:val="0"/>
          <w:color w:val="auto"/>
        </w:rPr>
      </w:pPr>
      <w:r w:rsidRPr="00FC7E66">
        <w:rPr>
          <w:rFonts w:eastAsia="Times New Roman"/>
          <w:b w:val="0"/>
          <w:i w:val="0"/>
          <w:color w:val="auto"/>
        </w:rPr>
        <w:t xml:space="preserve">The </w:t>
      </w:r>
      <w:r>
        <w:rPr>
          <w:rFonts w:eastAsia="Times New Roman"/>
          <w:b w:val="0"/>
          <w:i w:val="0"/>
          <w:color w:val="auto"/>
        </w:rPr>
        <w:t>OCC</w:t>
      </w:r>
      <w:r w:rsidRPr="00FC7E66">
        <w:rPr>
          <w:rFonts w:eastAsia="Times New Roman"/>
          <w:b w:val="0"/>
          <w:i w:val="0"/>
          <w:color w:val="auto"/>
        </w:rPr>
        <w:t xml:space="preserve"> published the latest edition of its </w:t>
      </w:r>
      <w:hyperlink r:id="rId49" w:history="1">
        <w:r w:rsidRPr="00FC7E66">
          <w:rPr>
            <w:rStyle w:val="Hyperlink"/>
            <w:rFonts w:eastAsia="Times New Roman"/>
            <w:b w:val="0"/>
            <w:i w:val="0"/>
          </w:rPr>
          <w:t>Community Developments Investments</w:t>
        </w:r>
      </w:hyperlink>
      <w:r>
        <w:rPr>
          <w:rStyle w:val="EndnoteReference"/>
          <w:rFonts w:eastAsia="Times New Roman"/>
          <w:b w:val="0"/>
          <w:i w:val="0"/>
          <w:color w:val="auto"/>
        </w:rPr>
        <w:endnoteReference w:id="24"/>
      </w:r>
      <w:r w:rsidRPr="00FC7E66">
        <w:rPr>
          <w:rFonts w:eastAsia="Times New Roman"/>
          <w:b w:val="0"/>
          <w:i w:val="0"/>
          <w:color w:val="auto"/>
        </w:rPr>
        <w:t xml:space="preserve"> electronic newsletter entitled "Small Multifamily Rental Property Financing.”</w:t>
      </w:r>
      <w:r>
        <w:rPr>
          <w:rFonts w:eastAsia="Times New Roman"/>
          <w:b w:val="0"/>
          <w:i w:val="0"/>
          <w:color w:val="auto"/>
        </w:rPr>
        <w:t xml:space="preserve"> </w:t>
      </w:r>
      <w:r w:rsidRPr="00FC7E66">
        <w:rPr>
          <w:rFonts w:eastAsia="Times New Roman"/>
          <w:b w:val="0"/>
          <w:i w:val="0"/>
          <w:color w:val="auto"/>
        </w:rPr>
        <w:t xml:space="preserve">Articles in this edition of Community Developments Investments look at how banks finance small multifamily rental properties for their own investment portfolios or for sale into the secondary market, as well as in partnership with Community Development Financial Institutions.  </w:t>
      </w:r>
    </w:p>
    <w:p w:rsidR="008F4BEF" w:rsidRDefault="008F4BEF" w:rsidP="008F4BEF">
      <w:pPr>
        <w:pStyle w:val="CCComment"/>
        <w:rPr>
          <w:b w:val="0"/>
          <w:i w:val="0"/>
        </w:rPr>
      </w:pPr>
    </w:p>
    <w:p w:rsidR="008F4BEF" w:rsidRDefault="008F4BEF" w:rsidP="008F4BEF">
      <w:pPr>
        <w:pStyle w:val="CCTOCHeading"/>
      </w:pPr>
      <w:bookmarkStart w:id="7" w:name="_Toc409519096"/>
      <w:r>
        <w:t>Federal Reserve actions</w:t>
      </w:r>
      <w:bookmarkEnd w:id="7"/>
    </w:p>
    <w:p w:rsidR="008F4BEF" w:rsidRDefault="008F4BEF" w:rsidP="008F4BEF">
      <w:pPr>
        <w:rPr>
          <w:rFonts w:ascii="ITC Avant Garde Gothic" w:hAnsi="ITC Avant Garde Gothic"/>
          <w:b/>
          <w:bCs/>
          <w:color w:val="595959"/>
          <w:sz w:val="24"/>
          <w:szCs w:val="24"/>
        </w:rPr>
      </w:pPr>
      <w:r>
        <w:rPr>
          <w:rFonts w:ascii="ITC Avant Garde Gothic" w:hAnsi="ITC Avant Garde Gothic"/>
          <w:b/>
          <w:bCs/>
          <w:color w:val="595959"/>
          <w:sz w:val="24"/>
          <w:szCs w:val="24"/>
        </w:rPr>
        <w:t>Federal Reserve issues FAQs on debit card interchange fees and routing</w:t>
      </w:r>
    </w:p>
    <w:p w:rsidR="008F4BEF" w:rsidRPr="00DE1034" w:rsidRDefault="008F4BEF" w:rsidP="008F4BEF">
      <w:pPr>
        <w:rPr>
          <w:rFonts w:ascii="ITC Avant Garde Gothic" w:hAnsi="ITC Avant Garde Gothic"/>
          <w:b/>
          <w:bCs/>
          <w:color w:val="595959"/>
          <w:sz w:val="24"/>
          <w:szCs w:val="24"/>
        </w:rPr>
      </w:pPr>
    </w:p>
    <w:p w:rsidR="008F4BEF" w:rsidRDefault="008F4BEF" w:rsidP="008F4BEF">
      <w:pPr>
        <w:rPr>
          <w:rFonts w:ascii="Calibri Light" w:hAnsi="Calibri Light"/>
        </w:rPr>
      </w:pPr>
      <w:r>
        <w:rPr>
          <w:rFonts w:ascii="Calibri Light" w:hAnsi="Calibri Light"/>
        </w:rPr>
        <w:t xml:space="preserve">The Federal Reserve developed </w:t>
      </w:r>
      <w:hyperlink r:id="rId50" w:history="1">
        <w:r w:rsidRPr="000A1ABC">
          <w:rPr>
            <w:rStyle w:val="Hyperlink"/>
            <w:rFonts w:ascii="Calibri Light" w:hAnsi="Calibri Light"/>
          </w:rPr>
          <w:t>FAQs</w:t>
        </w:r>
      </w:hyperlink>
      <w:r w:rsidRPr="000A1ABC">
        <w:rPr>
          <w:rFonts w:ascii="Calibri Light" w:hAnsi="Calibri Light"/>
        </w:rPr>
        <w:t xml:space="preserve"> to assist entities in complying with the Board's Regulation II. These FAQs are not official interpretations of the Board of Governors. These FAQs illustrate how select provisions of the regulation apply to specific situations an entity may confront. However, they do not necessarily address all provisions that may apply to any given situation. Staff may supplement or revise these FAQs as necessary or appropriate in light of further questions and experience.</w:t>
      </w:r>
      <w:r>
        <w:rPr>
          <w:rFonts w:ascii="Calibri Light" w:hAnsi="Calibri Light"/>
        </w:rPr>
        <w:br/>
      </w:r>
      <w:r>
        <w:rPr>
          <w:rFonts w:ascii="Calibri Light" w:hAnsi="Calibri Light"/>
        </w:rPr>
        <w:br/>
      </w:r>
    </w:p>
    <w:p w:rsidR="008F4BEF" w:rsidRPr="00E00CCD" w:rsidRDefault="008F4BEF" w:rsidP="008F4BEF">
      <w:pPr>
        <w:pStyle w:val="CCIssuance"/>
      </w:pPr>
      <w:r>
        <w:t>Fed issues Average Debit Card Interchange Fee by Payment Card Network</w:t>
      </w:r>
    </w:p>
    <w:p w:rsidR="008F4BEF" w:rsidRDefault="008F4BEF" w:rsidP="008F4BEF">
      <w:pPr>
        <w:pStyle w:val="CCComment"/>
        <w:rPr>
          <w:rFonts w:eastAsia="Times New Roman"/>
          <w:b w:val="0"/>
          <w:i w:val="0"/>
          <w:color w:val="auto"/>
        </w:rPr>
      </w:pPr>
      <w:r w:rsidRPr="0047158B">
        <w:rPr>
          <w:rFonts w:eastAsia="Times New Roman"/>
          <w:b w:val="0"/>
          <w:i w:val="0"/>
          <w:color w:val="auto"/>
        </w:rPr>
        <w:t>The Federal Res</w:t>
      </w:r>
      <w:r>
        <w:rPr>
          <w:rFonts w:eastAsia="Times New Roman"/>
          <w:b w:val="0"/>
          <w:i w:val="0"/>
          <w:color w:val="auto"/>
        </w:rPr>
        <w:t>erve</w:t>
      </w:r>
      <w:r w:rsidRPr="0047158B">
        <w:rPr>
          <w:rFonts w:eastAsia="Times New Roman"/>
          <w:b w:val="0"/>
          <w:i w:val="0"/>
          <w:color w:val="auto"/>
        </w:rPr>
        <w:t xml:space="preserve"> issued </w:t>
      </w:r>
      <w:hyperlink r:id="rId51" w:history="1">
        <w:r w:rsidRPr="007E16F8">
          <w:rPr>
            <w:rStyle w:val="Hyperlink"/>
            <w:rFonts w:eastAsia="Times New Roman"/>
            <w:b w:val="0"/>
            <w:i w:val="0"/>
          </w:rPr>
          <w:t>data</w:t>
        </w:r>
      </w:hyperlink>
      <w:r>
        <w:rPr>
          <w:rFonts w:eastAsia="Times New Roman"/>
          <w:b w:val="0"/>
          <w:i w:val="0"/>
          <w:color w:val="auto"/>
        </w:rPr>
        <w:t xml:space="preserve"> on the average debit card interchange fee paid by payment card networks. Highlights for the 2014 data include:</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Average interchange fees per transaction have changed little since Q4 2011, when Regulation II took effect.</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Exempt transactions constituted 38.6% of total volume and 37.3% of total value for transactions processed over dual-message networks, higher that for single-message networks (35.0% and 34.7%, respectively); these proportions have changed little since Regulation II took effect.</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In 2014 the average interchange fee per covered transaction was slightly lower for transactions processed over dual-message networks (which are mostly signature-authenticated) compared to those processed over single-message networks (which are mostly PIN-authenticated): $0.23 and $0.24 respectively.</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For transactions processed over dual-message networks the average interchange fee per exempt transaction was considerably higher than that for covered transactions ($0.50 vs. $0.26).</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For transactions processed over single-message networks the average interchange fee per exempt transaction has been steadily declining since Regulation II took effect, and in 2014 was only slightly higher than that for covered transactions ($0.26 vs. $0.24).</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Average interchange fees per transaction varied considerably across networks, with some networks collecting more than twice as much as other networks within the same transaction category.</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lastRenderedPageBreak/>
        <w:t>The percentage of volume/value accounted for by exempt transactions varied considerably across networks, with one network processing exclusively exempt transactions, while for others exempt transactions accounted for less than one in five transactions by volume and value.</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93.8% of prepaid card transactions (by value) were exempt from the interchange fee standard.</w:t>
      </w:r>
    </w:p>
    <w:p w:rsidR="008F4BEF" w:rsidRPr="00CD67F7" w:rsidRDefault="008F4BEF" w:rsidP="008F4BEF">
      <w:pPr>
        <w:numPr>
          <w:ilvl w:val="0"/>
          <w:numId w:val="47"/>
        </w:numPr>
        <w:shd w:val="clear" w:color="auto" w:fill="FFFFFF"/>
        <w:spacing w:before="100" w:beforeAutospacing="1" w:after="100" w:afterAutospacing="1"/>
        <w:rPr>
          <w:rFonts w:ascii="Calibri Light" w:eastAsia="Times New Roman" w:hAnsi="Calibri Light" w:cs="Arial"/>
          <w:color w:val="000000"/>
        </w:rPr>
      </w:pPr>
      <w:r w:rsidRPr="00CD67F7">
        <w:rPr>
          <w:rFonts w:ascii="Calibri Light" w:eastAsia="Times New Roman" w:hAnsi="Calibri Light" w:cs="Arial"/>
          <w:color w:val="000000"/>
        </w:rPr>
        <w:t>Prepaid card transactions exempt from the standard constituted 2.7% of transaction value for covered issuers.</w:t>
      </w:r>
    </w:p>
    <w:p w:rsidR="008F4BEF" w:rsidRDefault="008F4BEF" w:rsidP="008F4BEF">
      <w:pPr>
        <w:pStyle w:val="CCComment"/>
        <w:rPr>
          <w:color w:val="002060"/>
        </w:rPr>
      </w:pPr>
      <w:r>
        <w:rPr>
          <w:noProof/>
        </w:rPr>
        <w:drawing>
          <wp:inline distT="0" distB="0" distL="0" distR="0" wp14:anchorId="6637DCD4" wp14:editId="081F998B">
            <wp:extent cx="5943600" cy="2737569"/>
            <wp:effectExtent l="0" t="0" r="0" b="5715"/>
            <wp:docPr id="2" name="Picture 2" descr="Chart 1 Average Interchange Fee per Trasaction. A line graph showing average fees since late 2011 through 2014 by network type: Dual-message networks and Single message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1 Average Interchange Fee per Trasaction. A line graph showing average fees since late 2011 through 2014 by network type: Dual-message networks and Single message network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2737569"/>
                    </a:xfrm>
                    <a:prstGeom prst="rect">
                      <a:avLst/>
                    </a:prstGeom>
                    <a:noFill/>
                    <a:ln>
                      <a:noFill/>
                    </a:ln>
                  </pic:spPr>
                </pic:pic>
              </a:graphicData>
            </a:graphic>
          </wp:inline>
        </w:drawing>
      </w:r>
    </w:p>
    <w:p w:rsidR="008F4BEF" w:rsidRDefault="008F4BEF" w:rsidP="008F4BEF">
      <w:pPr>
        <w:rPr>
          <w:rFonts w:ascii="Calibri Light" w:hAnsi="Calibri Light"/>
        </w:rPr>
      </w:pPr>
    </w:p>
    <w:p w:rsidR="008F4BEF" w:rsidRDefault="008F4BEF" w:rsidP="008F4BEF"/>
    <w:p w:rsidR="008F4BEF" w:rsidRPr="0036757F" w:rsidRDefault="008F4BEF" w:rsidP="008F4BEF">
      <w:pPr>
        <w:pStyle w:val="CCTOCHeading"/>
      </w:pPr>
      <w:r>
        <w:t>Miscellaneous actions and news</w:t>
      </w:r>
    </w:p>
    <w:p w:rsidR="008F4BEF" w:rsidRDefault="008F4BEF" w:rsidP="008F4BEF">
      <w:pPr>
        <w:rPr>
          <w:rFonts w:ascii="ITC Avant Garde Gothic" w:hAnsi="ITC Avant Garde Gothic"/>
          <w:b/>
          <w:bCs/>
          <w:color w:val="595959"/>
          <w:sz w:val="24"/>
          <w:szCs w:val="24"/>
        </w:rPr>
      </w:pPr>
      <w:r>
        <w:rPr>
          <w:rFonts w:ascii="ITC Avant Garde Gothic" w:hAnsi="ITC Avant Garde Gothic"/>
          <w:b/>
          <w:bCs/>
          <w:color w:val="595959"/>
          <w:sz w:val="24"/>
          <w:szCs w:val="24"/>
        </w:rPr>
        <w:t>Treasury: ODFI responsible for providing incorrect ACH</w:t>
      </w:r>
      <w:r w:rsidRPr="00DE1034">
        <w:rPr>
          <w:rFonts w:ascii="ITC Avant Garde Gothic" w:hAnsi="ITC Avant Garde Gothic"/>
          <w:b/>
          <w:bCs/>
          <w:color w:val="595959"/>
          <w:sz w:val="24"/>
          <w:szCs w:val="24"/>
        </w:rPr>
        <w:t xml:space="preserve"> </w:t>
      </w:r>
      <w:r>
        <w:rPr>
          <w:rFonts w:ascii="ITC Avant Garde Gothic" w:hAnsi="ITC Avant Garde Gothic"/>
          <w:b/>
          <w:bCs/>
          <w:color w:val="595959"/>
          <w:sz w:val="24"/>
          <w:szCs w:val="24"/>
        </w:rPr>
        <w:t>enrollment information</w:t>
      </w:r>
    </w:p>
    <w:p w:rsidR="008F4BEF" w:rsidRPr="00DE1034" w:rsidRDefault="008F4BEF" w:rsidP="008F4BEF">
      <w:pPr>
        <w:rPr>
          <w:rFonts w:ascii="ITC Avant Garde Gothic" w:hAnsi="ITC Avant Garde Gothic"/>
          <w:b/>
          <w:bCs/>
          <w:color w:val="595959"/>
          <w:sz w:val="24"/>
          <w:szCs w:val="24"/>
        </w:rPr>
      </w:pPr>
    </w:p>
    <w:p w:rsidR="008F4BEF" w:rsidRDefault="008F4BEF" w:rsidP="008F4BEF">
      <w:pPr>
        <w:rPr>
          <w:rFonts w:ascii="Calibri Light" w:hAnsi="Calibri Light"/>
          <w:i/>
          <w:color w:val="002060"/>
        </w:rPr>
      </w:pPr>
      <w:r>
        <w:rPr>
          <w:rFonts w:ascii="Calibri Light" w:hAnsi="Calibri Light"/>
        </w:rPr>
        <w:t xml:space="preserve">In an </w:t>
      </w:r>
      <w:hyperlink r:id="rId53" w:history="1">
        <w:r w:rsidRPr="000F4407">
          <w:rPr>
            <w:rStyle w:val="Hyperlink"/>
            <w:rFonts w:ascii="Calibri Light" w:hAnsi="Calibri Light"/>
          </w:rPr>
          <w:t>update to the Green Book</w:t>
        </w:r>
      </w:hyperlink>
      <w:r>
        <w:rPr>
          <w:rFonts w:ascii="Calibri Light" w:hAnsi="Calibri Light"/>
        </w:rPr>
        <w:t>,</w:t>
      </w:r>
      <w:r>
        <w:rPr>
          <w:rStyle w:val="EndnoteReference"/>
          <w:rFonts w:ascii="Calibri Light" w:hAnsi="Calibri Light"/>
        </w:rPr>
        <w:endnoteReference w:id="25"/>
      </w:r>
      <w:r>
        <w:rPr>
          <w:rFonts w:ascii="Calibri Light" w:hAnsi="Calibri Light"/>
        </w:rPr>
        <w:t xml:space="preserve"> t</w:t>
      </w:r>
      <w:r w:rsidRPr="00E94BEF">
        <w:rPr>
          <w:rFonts w:ascii="Calibri Light" w:hAnsi="Calibri Light"/>
        </w:rPr>
        <w:t>he Fiscal Service will begin holding financial institutions</w:t>
      </w:r>
      <w:r>
        <w:rPr>
          <w:rFonts w:ascii="Calibri Light" w:hAnsi="Calibri Light"/>
        </w:rPr>
        <w:t xml:space="preserve"> liable for providing incorrect </w:t>
      </w:r>
      <w:r w:rsidRPr="00E94BEF">
        <w:rPr>
          <w:rFonts w:ascii="Calibri Light" w:hAnsi="Calibri Light"/>
        </w:rPr>
        <w:t>ACH enrollment information to a Federal agency resulting in an</w:t>
      </w:r>
      <w:r>
        <w:rPr>
          <w:rFonts w:ascii="Calibri Light" w:hAnsi="Calibri Light"/>
        </w:rPr>
        <w:t xml:space="preserve"> </w:t>
      </w:r>
      <w:r w:rsidRPr="00E94BEF">
        <w:rPr>
          <w:rFonts w:ascii="Calibri Light" w:hAnsi="Calibri Light"/>
        </w:rPr>
        <w:t>erroneous or fraudulent payment and subsequent loss to the Government. If the Fiscal Service</w:t>
      </w:r>
      <w:r>
        <w:rPr>
          <w:rFonts w:ascii="Calibri Light" w:hAnsi="Calibri Light"/>
        </w:rPr>
        <w:t xml:space="preserve"> </w:t>
      </w:r>
      <w:r w:rsidRPr="00E94BEF">
        <w:rPr>
          <w:rFonts w:ascii="Calibri Light" w:hAnsi="Calibri Light"/>
        </w:rPr>
        <w:t>determines that a recipient's ACH payment was misdirected because an institution submitted</w:t>
      </w:r>
      <w:r>
        <w:rPr>
          <w:rFonts w:ascii="Calibri Light" w:hAnsi="Calibri Light"/>
        </w:rPr>
        <w:t xml:space="preserve"> </w:t>
      </w:r>
      <w:r w:rsidRPr="00E94BEF">
        <w:rPr>
          <w:rFonts w:ascii="Calibri Light" w:hAnsi="Calibri Light"/>
        </w:rPr>
        <w:t>incorrect banking information as part of an enrollment, or because the ACH payment or</w:t>
      </w:r>
      <w:r>
        <w:rPr>
          <w:rFonts w:ascii="Calibri Light" w:hAnsi="Calibri Light"/>
        </w:rPr>
        <w:t xml:space="preserve"> </w:t>
      </w:r>
      <w:r w:rsidRPr="00E94BEF">
        <w:rPr>
          <w:rFonts w:ascii="Calibri Light" w:hAnsi="Calibri Light"/>
        </w:rPr>
        <w:t>payments were misdirected because of a fraudulent enrollment, the Fiscal Service will submit a</w:t>
      </w:r>
      <w:r>
        <w:rPr>
          <w:rFonts w:ascii="Calibri Light" w:hAnsi="Calibri Light"/>
        </w:rPr>
        <w:t xml:space="preserve"> </w:t>
      </w:r>
      <w:r w:rsidRPr="00E94BEF">
        <w:rPr>
          <w:rFonts w:ascii="Calibri Light" w:hAnsi="Calibri Light"/>
        </w:rPr>
        <w:t>Notice of Direct Debi</w:t>
      </w:r>
      <w:r>
        <w:rPr>
          <w:rFonts w:ascii="Calibri Light" w:hAnsi="Calibri Light"/>
        </w:rPr>
        <w:t>t</w:t>
      </w:r>
      <w:r w:rsidRPr="00E94BEF">
        <w:rPr>
          <w:rFonts w:ascii="Calibri Light" w:hAnsi="Calibri Light"/>
        </w:rPr>
        <w:t xml:space="preserve"> to the Originating Depository Financial</w:t>
      </w:r>
      <w:r>
        <w:rPr>
          <w:rFonts w:ascii="Calibri Light" w:hAnsi="Calibri Light"/>
        </w:rPr>
        <w:t xml:space="preserve"> </w:t>
      </w:r>
      <w:r w:rsidRPr="00E94BEF">
        <w:rPr>
          <w:rFonts w:ascii="Calibri Light" w:hAnsi="Calibri Light"/>
        </w:rPr>
        <w:t>Institution.</w:t>
      </w:r>
      <w:r>
        <w:rPr>
          <w:rFonts w:ascii="Calibri Light" w:hAnsi="Calibri Light"/>
        </w:rPr>
        <w:br/>
      </w:r>
      <w:r>
        <w:rPr>
          <w:rFonts w:ascii="Calibri Light" w:hAnsi="Calibri Light"/>
          <w:i/>
          <w:color w:val="002060"/>
        </w:rPr>
        <w:br/>
      </w:r>
    </w:p>
    <w:p w:rsidR="008F4BEF" w:rsidRDefault="008F4BEF" w:rsidP="008F4BEF">
      <w:pPr>
        <w:rPr>
          <w:rFonts w:ascii="ITC Avant Garde Gothic" w:hAnsi="ITC Avant Garde Gothic"/>
          <w:b/>
          <w:bCs/>
          <w:color w:val="595959"/>
          <w:sz w:val="24"/>
          <w:szCs w:val="24"/>
        </w:rPr>
      </w:pPr>
      <w:r>
        <w:rPr>
          <w:rFonts w:ascii="ITC Avant Garde Gothic" w:hAnsi="ITC Avant Garde Gothic"/>
          <w:b/>
          <w:bCs/>
          <w:color w:val="595959"/>
          <w:sz w:val="24"/>
          <w:szCs w:val="24"/>
        </w:rPr>
        <w:t>FDIC offers teleconference on CFPB mortgage rules</w:t>
      </w:r>
    </w:p>
    <w:p w:rsidR="008F4BEF" w:rsidRPr="00DE1034" w:rsidRDefault="008F4BEF" w:rsidP="008F4BEF">
      <w:pPr>
        <w:rPr>
          <w:rFonts w:ascii="ITC Avant Garde Gothic" w:hAnsi="ITC Avant Garde Gothic"/>
          <w:b/>
          <w:bCs/>
          <w:color w:val="595959"/>
          <w:sz w:val="24"/>
          <w:szCs w:val="24"/>
        </w:rPr>
      </w:pPr>
    </w:p>
    <w:p w:rsidR="008F4BEF" w:rsidRPr="00AF4BB3" w:rsidRDefault="008F4BEF" w:rsidP="008F4BEF">
      <w:r>
        <w:rPr>
          <w:rFonts w:ascii="Calibri Light" w:hAnsi="Calibri Light"/>
        </w:rPr>
        <w:t xml:space="preserve">The FDIC is </w:t>
      </w:r>
      <w:r w:rsidRPr="00100D61">
        <w:rPr>
          <w:rFonts w:ascii="Calibri Light" w:hAnsi="Calibri Light"/>
        </w:rPr>
        <w:t>offer</w:t>
      </w:r>
      <w:r>
        <w:rPr>
          <w:rFonts w:ascii="Calibri Light" w:hAnsi="Calibri Light"/>
        </w:rPr>
        <w:t>ing</w:t>
      </w:r>
      <w:r w:rsidRPr="00100D61">
        <w:rPr>
          <w:rFonts w:ascii="Calibri Light" w:hAnsi="Calibri Light"/>
        </w:rPr>
        <w:t xml:space="preserve"> a teleconference scheduled for May 21, 2015, that will focus on implementation of the </w:t>
      </w:r>
      <w:r>
        <w:rPr>
          <w:rFonts w:ascii="Calibri Light" w:hAnsi="Calibri Light"/>
        </w:rPr>
        <w:t>CFPB</w:t>
      </w:r>
      <w:r w:rsidRPr="00100D61">
        <w:rPr>
          <w:rFonts w:ascii="Calibri Light" w:hAnsi="Calibri Light"/>
        </w:rPr>
        <w:t xml:space="preserve"> mortgage rules. FDIC staff will share observations that FDIC examiners have noted during initial examinations and highlight a number of practices currently used by some institutions that might be useful to bank compliance officers. The session is free, but registration is required.</w:t>
      </w:r>
      <w:r>
        <w:rPr>
          <w:rFonts w:ascii="Calibri Light" w:hAnsi="Calibri Light"/>
        </w:rPr>
        <w:t xml:space="preserve"> </w:t>
      </w:r>
      <w:hyperlink r:id="rId54" w:history="1">
        <w:r w:rsidRPr="000F4407">
          <w:rPr>
            <w:rStyle w:val="Hyperlink"/>
            <w:rFonts w:ascii="Calibri Light" w:hAnsi="Calibri Light"/>
          </w:rPr>
          <w:t>FIL-20-2015</w:t>
        </w:r>
      </w:hyperlink>
      <w:r>
        <w:rPr>
          <w:rFonts w:ascii="Calibri Light" w:hAnsi="Calibri Light"/>
        </w:rPr>
        <w:t>.</w:t>
      </w:r>
      <w:r>
        <w:rPr>
          <w:rStyle w:val="EndnoteReference"/>
          <w:rFonts w:ascii="Calibri Light" w:hAnsi="Calibri Light"/>
        </w:rPr>
        <w:endnoteReference w:id="26"/>
      </w:r>
      <w:r>
        <w:rPr>
          <w:rFonts w:ascii="Calibri Light" w:hAnsi="Calibri Light"/>
        </w:rPr>
        <w:br/>
      </w:r>
      <w:r>
        <w:rPr>
          <w:rFonts w:ascii="Calibri Light" w:hAnsi="Calibri Light"/>
        </w:rPr>
        <w:br/>
      </w:r>
      <w:r w:rsidRPr="002B6D28">
        <w:rPr>
          <w:rFonts w:ascii="Georgia" w:hAnsi="Georgia"/>
          <w:i/>
          <w:noProof/>
          <w:color w:val="002060"/>
          <w:sz w:val="20"/>
          <w:szCs w:val="20"/>
        </w:rPr>
        <w:drawing>
          <wp:inline distT="0" distB="0" distL="0" distR="0" wp14:anchorId="3F522BE2" wp14:editId="4E6A5464">
            <wp:extent cx="275590" cy="220980"/>
            <wp:effectExtent l="0" t="0" r="0"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r>
        <w:rPr>
          <w:rFonts w:ascii="Calibri Light" w:hAnsi="Calibri Light"/>
          <w:b/>
          <w:i/>
          <w:color w:val="002060"/>
        </w:rPr>
        <w:t>Action</w:t>
      </w:r>
      <w:r w:rsidRPr="00CD3B48">
        <w:rPr>
          <w:rFonts w:ascii="Calibri Light" w:hAnsi="Calibri Light"/>
          <w:b/>
          <w:i/>
          <w:color w:val="002060"/>
        </w:rPr>
        <w:t>:</w:t>
      </w:r>
      <w:r>
        <w:rPr>
          <w:rFonts w:ascii="Calibri Light" w:hAnsi="Calibri Light"/>
          <w:b/>
          <w:i/>
          <w:color w:val="002060"/>
        </w:rPr>
        <w:t xml:space="preserve"> This teleconference is being held the day after Capitol Comments was issued. If you want to participate, register ASAP. If you are reading this after the teleconference, it is likely the CFPB will provide a recording. In the past, regulator teleconferences on the mortgage rules have been hyper-technical and difficult to follow. In this teleconference, the FDIC will </w:t>
      </w:r>
      <w:r w:rsidRPr="00CD3B48">
        <w:rPr>
          <w:rFonts w:ascii="Calibri Light" w:hAnsi="Calibri Light"/>
          <w:b/>
          <w:i/>
          <w:color w:val="002060"/>
        </w:rPr>
        <w:t>share observations noted by FDIC examiners over</w:t>
      </w:r>
      <w:r>
        <w:rPr>
          <w:rFonts w:ascii="Calibri Light" w:hAnsi="Calibri Light"/>
          <w:b/>
          <w:i/>
          <w:color w:val="002060"/>
        </w:rPr>
        <w:t xml:space="preserve"> </w:t>
      </w:r>
      <w:r w:rsidRPr="00CD3B48">
        <w:rPr>
          <w:rFonts w:ascii="Calibri Light" w:hAnsi="Calibri Light"/>
          <w:b/>
          <w:i/>
          <w:color w:val="002060"/>
        </w:rPr>
        <w:t>the last year and highlight a number of practices used by some</w:t>
      </w:r>
      <w:r>
        <w:rPr>
          <w:rFonts w:ascii="Calibri Light" w:hAnsi="Calibri Light"/>
          <w:b/>
          <w:i/>
          <w:color w:val="002060"/>
        </w:rPr>
        <w:t xml:space="preserve"> </w:t>
      </w:r>
      <w:r w:rsidRPr="00CD3B48">
        <w:rPr>
          <w:rFonts w:ascii="Calibri Light" w:hAnsi="Calibri Light"/>
          <w:b/>
          <w:i/>
          <w:color w:val="002060"/>
        </w:rPr>
        <w:t>institutions for complying with the Consumer Financial Protection</w:t>
      </w:r>
      <w:r>
        <w:rPr>
          <w:rFonts w:ascii="Calibri Light" w:hAnsi="Calibri Light"/>
          <w:b/>
          <w:i/>
          <w:color w:val="002060"/>
        </w:rPr>
        <w:t xml:space="preserve"> </w:t>
      </w:r>
      <w:r w:rsidRPr="00CD3B48">
        <w:rPr>
          <w:rFonts w:ascii="Calibri Light" w:hAnsi="Calibri Light"/>
          <w:b/>
          <w:i/>
          <w:color w:val="002060"/>
        </w:rPr>
        <w:t>Bureau’s mortgage rules.</w:t>
      </w:r>
      <w:r>
        <w:rPr>
          <w:rFonts w:ascii="Calibri Light" w:hAnsi="Calibri Light"/>
          <w:b/>
          <w:i/>
          <w:color w:val="002060"/>
        </w:rPr>
        <w:t xml:space="preserve"> Hopefully, with the topic </w:t>
      </w:r>
      <w:r>
        <w:rPr>
          <w:rFonts w:ascii="Calibri Light" w:hAnsi="Calibri Light"/>
          <w:b/>
          <w:i/>
          <w:color w:val="002060"/>
        </w:rPr>
        <w:lastRenderedPageBreak/>
        <w:t>being the sharing of observations, this teleconference won’t be so hyper-technical and will be easier to follow.</w:t>
      </w:r>
      <w:r>
        <w:rPr>
          <w:rFonts w:ascii="Calibri Light" w:hAnsi="Calibri Light"/>
          <w:b/>
          <w:i/>
          <w:color w:val="002060"/>
        </w:rPr>
        <w:br/>
      </w:r>
      <w:r>
        <w:rPr>
          <w:rFonts w:ascii="Calibri Light" w:hAnsi="Calibri Light"/>
          <w:b/>
          <w:i/>
          <w:color w:val="002060"/>
        </w:rPr>
        <w:br/>
      </w:r>
    </w:p>
    <w:p w:rsidR="008F4BEF" w:rsidRDefault="008F4BEF" w:rsidP="008F4BEF">
      <w:pPr>
        <w:rPr>
          <w:rFonts w:ascii="ITC Avant Garde Gothic" w:hAnsi="ITC Avant Garde Gothic"/>
          <w:b/>
          <w:bCs/>
          <w:color w:val="595959"/>
          <w:sz w:val="24"/>
          <w:szCs w:val="24"/>
        </w:rPr>
      </w:pPr>
      <w:r>
        <w:rPr>
          <w:rFonts w:ascii="ITC Avant Garde Gothic" w:hAnsi="ITC Avant Garde Gothic"/>
          <w:b/>
          <w:bCs/>
          <w:color w:val="595959"/>
          <w:sz w:val="24"/>
          <w:szCs w:val="24"/>
        </w:rPr>
        <w:t>Bank Jugging thefts on the increase</w:t>
      </w:r>
    </w:p>
    <w:p w:rsidR="008F4BEF" w:rsidRPr="00DE1034" w:rsidRDefault="008F4BEF" w:rsidP="008F4BEF">
      <w:pPr>
        <w:rPr>
          <w:rFonts w:ascii="ITC Avant Garde Gothic" w:hAnsi="ITC Avant Garde Gothic"/>
          <w:b/>
          <w:bCs/>
          <w:color w:val="595959"/>
          <w:sz w:val="24"/>
          <w:szCs w:val="24"/>
        </w:rPr>
      </w:pPr>
    </w:p>
    <w:p w:rsidR="008F4BEF" w:rsidRPr="00AF4BB3" w:rsidRDefault="008F4BEF" w:rsidP="008F4BEF">
      <w:r>
        <w:rPr>
          <w:rFonts w:ascii="Calibri Light" w:hAnsi="Calibri Light"/>
        </w:rPr>
        <w:t xml:space="preserve">A crime called Bank Jugging has struck—most recently and pervasively at Texas banks. Bank Jugging thieves watch bank customers leave a bank with cash, follow them, and break into their cars to steal the money. According to </w:t>
      </w:r>
      <w:hyperlink r:id="rId55" w:history="1">
        <w:r w:rsidRPr="00814FE7">
          <w:rPr>
            <w:rStyle w:val="Hyperlink"/>
            <w:rFonts w:ascii="Calibri Light" w:hAnsi="Calibri Light"/>
          </w:rPr>
          <w:t>KPRC</w:t>
        </w:r>
      </w:hyperlink>
      <w:r>
        <w:rPr>
          <w:rStyle w:val="EndnoteReference"/>
          <w:rFonts w:ascii="Calibri Light" w:hAnsi="Calibri Light"/>
        </w:rPr>
        <w:endnoteReference w:id="27"/>
      </w:r>
      <w:r>
        <w:rPr>
          <w:rStyle w:val="Hyperlink"/>
          <w:rFonts w:ascii="Calibri Light" w:hAnsi="Calibri Light"/>
        </w:rPr>
        <w:t xml:space="preserve"> </w:t>
      </w:r>
      <w:r>
        <w:rPr>
          <w:rFonts w:ascii="Calibri Light" w:hAnsi="Calibri Light"/>
        </w:rPr>
        <w:t xml:space="preserve">in Houston, police have arrested 160 jugging suspects in Houston so far this year. </w:t>
      </w:r>
      <w:hyperlink r:id="rId56" w:history="1">
        <w:r w:rsidRPr="00814FE7">
          <w:rPr>
            <w:rStyle w:val="Hyperlink"/>
            <w:rFonts w:ascii="Calibri Light" w:hAnsi="Calibri Light"/>
          </w:rPr>
          <w:t>KXAN</w:t>
        </w:r>
      </w:hyperlink>
      <w:r>
        <w:rPr>
          <w:rStyle w:val="EndnoteReference"/>
          <w:rFonts w:ascii="Calibri Light" w:hAnsi="Calibri Light"/>
        </w:rPr>
        <w:endnoteReference w:id="28"/>
      </w:r>
      <w:r w:rsidRPr="00CD3B48">
        <w:rPr>
          <w:rStyle w:val="Hyperlink"/>
          <w:rFonts w:ascii="Calibri Light" w:hAnsi="Calibri Light"/>
        </w:rPr>
        <w:t xml:space="preserve"> in Austin</w:t>
      </w:r>
      <w:r w:rsidRPr="00CD3B48">
        <w:rPr>
          <w:rFonts w:ascii="Calibri Light" w:hAnsi="Calibri Light"/>
        </w:rPr>
        <w:t xml:space="preserve"> </w:t>
      </w:r>
      <w:r>
        <w:rPr>
          <w:rFonts w:ascii="Calibri Light" w:hAnsi="Calibri Light"/>
        </w:rPr>
        <w:t>reports that there were 50 reports of Bank Jugging in Austin last year.</w:t>
      </w:r>
      <w:r>
        <w:rPr>
          <w:rFonts w:ascii="Calibri Light" w:hAnsi="Calibri Light"/>
        </w:rPr>
        <w:br/>
      </w:r>
      <w:r>
        <w:rPr>
          <w:rFonts w:ascii="Calibri Light" w:hAnsi="Calibri Light"/>
          <w:i/>
          <w:color w:val="002060"/>
        </w:rPr>
        <w:br/>
      </w:r>
      <w:r>
        <w:rPr>
          <w:rFonts w:ascii="Calibri Light" w:hAnsi="Calibri Light"/>
          <w:b/>
          <w:i/>
          <w:color w:val="002060"/>
        </w:rPr>
        <w:t>Action</w:t>
      </w:r>
      <w:r w:rsidRPr="00CD3B48">
        <w:rPr>
          <w:rFonts w:ascii="Calibri Light" w:hAnsi="Calibri Light"/>
          <w:b/>
          <w:i/>
          <w:color w:val="002060"/>
        </w:rPr>
        <w:t xml:space="preserve">: </w:t>
      </w:r>
      <w:r>
        <w:rPr>
          <w:rFonts w:ascii="Calibri Light" w:hAnsi="Calibri Light"/>
          <w:b/>
          <w:i/>
          <w:color w:val="002060"/>
        </w:rPr>
        <w:t xml:space="preserve">Today, Texas, tomorrow, your town? </w:t>
      </w:r>
      <w:r w:rsidRPr="00CD3B48">
        <w:rPr>
          <w:rFonts w:ascii="Calibri Light" w:hAnsi="Calibri Light"/>
          <w:b/>
          <w:i/>
          <w:color w:val="002060"/>
        </w:rPr>
        <w:t>Pass this information on to your customers; especially those who regularly leave the bank with cash. Tell them to always be aware of their surroundings and never leave cash withdrawals in their car.</w:t>
      </w:r>
      <w:r>
        <w:rPr>
          <w:rFonts w:ascii="Calibri Light" w:hAnsi="Calibri Light"/>
          <w:b/>
          <w:i/>
          <w:color w:val="002060"/>
        </w:rPr>
        <w:br/>
      </w:r>
      <w:r>
        <w:rPr>
          <w:rFonts w:ascii="Calibri Light" w:hAnsi="Calibri Light"/>
          <w:b/>
          <w:i/>
          <w:color w:val="002060"/>
        </w:rPr>
        <w:br/>
      </w:r>
    </w:p>
    <w:p w:rsidR="008F4BEF" w:rsidRDefault="008F4BEF" w:rsidP="008F4BEF">
      <w:pPr>
        <w:rPr>
          <w:rFonts w:ascii="ITC Avant Garde Gothic" w:hAnsi="ITC Avant Garde Gothic"/>
          <w:b/>
          <w:bCs/>
          <w:color w:val="595959"/>
          <w:sz w:val="24"/>
          <w:szCs w:val="24"/>
        </w:rPr>
      </w:pPr>
      <w:r>
        <w:rPr>
          <w:rFonts w:ascii="ITC Avant Garde Gothic" w:hAnsi="ITC Avant Garde Gothic"/>
          <w:b/>
          <w:bCs/>
          <w:color w:val="595959"/>
          <w:sz w:val="24"/>
          <w:szCs w:val="24"/>
        </w:rPr>
        <w:t>April Senior Loan Officer Opinion Survey on Bank Lending Practices</w:t>
      </w:r>
    </w:p>
    <w:p w:rsidR="008F4BEF" w:rsidRPr="00DE1034" w:rsidRDefault="008F4BEF" w:rsidP="008F4BEF">
      <w:pPr>
        <w:rPr>
          <w:rFonts w:ascii="ITC Avant Garde Gothic" w:hAnsi="ITC Avant Garde Gothic"/>
          <w:b/>
          <w:bCs/>
          <w:color w:val="595959"/>
          <w:sz w:val="24"/>
          <w:szCs w:val="24"/>
        </w:rPr>
      </w:pPr>
    </w:p>
    <w:p w:rsidR="008F4BEF" w:rsidRPr="001876B4" w:rsidRDefault="008F4BEF" w:rsidP="008F4BEF">
      <w:pPr>
        <w:rPr>
          <w:rFonts w:ascii="Calibri Light" w:hAnsi="Calibri Light"/>
        </w:rPr>
      </w:pPr>
      <w:r w:rsidRPr="001876B4">
        <w:rPr>
          <w:rFonts w:ascii="Calibri Light" w:hAnsi="Calibri Light"/>
        </w:rPr>
        <w:t xml:space="preserve">The </w:t>
      </w:r>
      <w:hyperlink r:id="rId57" w:history="1">
        <w:r w:rsidRPr="001876B4">
          <w:rPr>
            <w:rStyle w:val="Hyperlink"/>
            <w:rFonts w:ascii="Calibri Light" w:hAnsi="Calibri Light"/>
          </w:rPr>
          <w:t>April 2015 Senior Loan Officer Opinion Survey on Bank Lending Practices</w:t>
        </w:r>
      </w:hyperlink>
      <w:r>
        <w:rPr>
          <w:rStyle w:val="EndnoteReference"/>
          <w:rFonts w:ascii="Calibri Light" w:hAnsi="Calibri Light"/>
        </w:rPr>
        <w:endnoteReference w:id="29"/>
      </w:r>
      <w:r w:rsidRPr="001876B4">
        <w:rPr>
          <w:rFonts w:ascii="Calibri Light" w:hAnsi="Calibri Light"/>
        </w:rPr>
        <w:t xml:space="preserve"> addressed changes in the standards and terms on, and demand for, bank loans to businesses and househo</w:t>
      </w:r>
      <w:r>
        <w:rPr>
          <w:rFonts w:ascii="Calibri Light" w:hAnsi="Calibri Light"/>
        </w:rPr>
        <w:t>lds over the past three months.</w:t>
      </w:r>
      <w:r w:rsidRPr="001876B4">
        <w:rPr>
          <w:rFonts w:ascii="Calibri Light" w:hAnsi="Calibri Light"/>
        </w:rPr>
        <w:t xml:space="preserve"> This summary discusses the responses from 76 </w:t>
      </w:r>
      <w:r>
        <w:rPr>
          <w:rFonts w:ascii="Calibri Light" w:hAnsi="Calibri Light"/>
        </w:rPr>
        <w:t xml:space="preserve">large </w:t>
      </w:r>
      <w:r w:rsidRPr="001876B4">
        <w:rPr>
          <w:rFonts w:ascii="Calibri Light" w:hAnsi="Calibri Light"/>
        </w:rPr>
        <w:t>domestic banks and 23 U.S. branches</w:t>
      </w:r>
      <w:r>
        <w:rPr>
          <w:rFonts w:ascii="Calibri Light" w:hAnsi="Calibri Light"/>
        </w:rPr>
        <w:t xml:space="preserve"> and agencies of foreign banks.</w:t>
      </w:r>
      <w:r>
        <w:rPr>
          <w:rFonts w:ascii="Calibri Light" w:hAnsi="Calibri Light"/>
        </w:rPr>
        <w:br/>
      </w:r>
      <w:r>
        <w:rPr>
          <w:rFonts w:ascii="Calibri Light" w:hAnsi="Calibri Light"/>
        </w:rPr>
        <w:br/>
      </w:r>
      <w:r w:rsidRPr="00C8074F">
        <w:rPr>
          <w:rFonts w:ascii="Calibri Light" w:hAnsi="Calibri Light"/>
          <w:b/>
          <w:i/>
          <w:color w:val="002060"/>
        </w:rPr>
        <w:t>Comment: Although the survey is of loan officers at large banks, there may be some useful information.</w:t>
      </w:r>
      <w:r>
        <w:rPr>
          <w:rFonts w:ascii="Calibri Light" w:hAnsi="Calibri Light"/>
          <w:b/>
          <w:i/>
          <w:color w:val="002060"/>
        </w:rPr>
        <w:br/>
      </w:r>
      <w:r>
        <w:rPr>
          <w:rFonts w:ascii="Calibri Light" w:hAnsi="Calibri Light"/>
          <w:b/>
          <w:i/>
          <w:color w:val="002060"/>
        </w:rPr>
        <w:br/>
      </w:r>
    </w:p>
    <w:p w:rsidR="008F4BEF" w:rsidRDefault="008F4BEF" w:rsidP="008F4BEF">
      <w:pPr>
        <w:rPr>
          <w:rFonts w:ascii="ITC Avant Garde Gothic" w:hAnsi="ITC Avant Garde Gothic"/>
          <w:b/>
          <w:bCs/>
          <w:color w:val="595959"/>
          <w:sz w:val="24"/>
          <w:szCs w:val="24"/>
        </w:rPr>
      </w:pPr>
      <w:r>
        <w:rPr>
          <w:rFonts w:ascii="ITC Avant Garde Gothic" w:hAnsi="ITC Avant Garde Gothic"/>
          <w:b/>
          <w:bCs/>
          <w:color w:val="595959"/>
          <w:sz w:val="24"/>
          <w:szCs w:val="24"/>
        </w:rPr>
        <w:t>FTC launches website for identity theft victims</w:t>
      </w:r>
    </w:p>
    <w:p w:rsidR="008F4BEF" w:rsidRPr="00DE1034" w:rsidRDefault="008F4BEF" w:rsidP="008F4BEF">
      <w:pPr>
        <w:rPr>
          <w:rFonts w:ascii="ITC Avant Garde Gothic" w:hAnsi="ITC Avant Garde Gothic"/>
          <w:b/>
          <w:bCs/>
          <w:color w:val="595959"/>
          <w:sz w:val="24"/>
          <w:szCs w:val="24"/>
        </w:rPr>
      </w:pPr>
    </w:p>
    <w:p w:rsidR="008F4BEF" w:rsidRDefault="008F4BEF" w:rsidP="008F4BEF">
      <w:r w:rsidRPr="00677C8B">
        <w:rPr>
          <w:rFonts w:ascii="Calibri Light" w:hAnsi="Calibri Light"/>
        </w:rPr>
        <w:t xml:space="preserve">The </w:t>
      </w:r>
      <w:r>
        <w:rPr>
          <w:rFonts w:ascii="Calibri Light" w:hAnsi="Calibri Light"/>
        </w:rPr>
        <w:t>FTC launched identitytheft.gov for victims of identity theft. The website allows the victim to report identity theft and learn what they need to do to recover from the theft.</w:t>
      </w:r>
      <w:r w:rsidRPr="00677C8B">
        <w:rPr>
          <w:rFonts w:ascii="Calibri Light" w:hAnsi="Calibri Light"/>
        </w:rPr>
        <w:t xml:space="preserve"> </w:t>
      </w:r>
      <w:r>
        <w:rPr>
          <w:rFonts w:ascii="Calibri Light" w:hAnsi="Calibri Light"/>
        </w:rPr>
        <w:t xml:space="preserve">A Spanish language version is available at </w:t>
      </w:r>
      <w:hyperlink r:id="rId58" w:history="1">
        <w:r w:rsidRPr="009C46B6">
          <w:rPr>
            <w:rStyle w:val="Hyperlink"/>
            <w:rFonts w:ascii="Calibri Light" w:hAnsi="Calibri Light"/>
          </w:rPr>
          <w:t>Robodeldentidad.gov</w:t>
        </w:r>
      </w:hyperlink>
      <w:r>
        <w:rPr>
          <w:rFonts w:ascii="Calibri Light" w:hAnsi="Calibri Light"/>
        </w:rPr>
        <w:t xml:space="preserve">. </w:t>
      </w:r>
      <w:hyperlink r:id="rId59" w:history="1">
        <w:r w:rsidRPr="00AE202E">
          <w:rPr>
            <w:rStyle w:val="Hyperlink"/>
            <w:rFonts w:ascii="Calibri Light" w:hAnsi="Calibri Light"/>
          </w:rPr>
          <w:t>Press Release</w:t>
        </w:r>
      </w:hyperlink>
      <w:r>
        <w:rPr>
          <w:rFonts w:ascii="Calibri Light" w:hAnsi="Calibri Light"/>
        </w:rPr>
        <w:t>.</w:t>
      </w:r>
      <w:r>
        <w:rPr>
          <w:rStyle w:val="EndnoteReference"/>
          <w:rFonts w:ascii="Calibri Light" w:hAnsi="Calibri Light"/>
        </w:rPr>
        <w:endnoteReference w:id="30"/>
      </w:r>
      <w:r>
        <w:rPr>
          <w:rFonts w:ascii="Calibri Light" w:hAnsi="Calibri Light"/>
        </w:rPr>
        <w:br/>
      </w:r>
      <w:r>
        <w:rPr>
          <w:rFonts w:ascii="Calibri Light" w:hAnsi="Calibri Light"/>
        </w:rPr>
        <w:br/>
      </w:r>
      <w:r>
        <w:rPr>
          <w:rFonts w:ascii="Calibri Light" w:hAnsi="Calibri Light"/>
          <w:b/>
          <w:i/>
          <w:color w:val="002060"/>
        </w:rPr>
        <w:t>Action</w:t>
      </w:r>
      <w:r w:rsidRPr="00C8074F">
        <w:rPr>
          <w:rFonts w:ascii="Calibri Light" w:hAnsi="Calibri Light"/>
          <w:b/>
          <w:i/>
          <w:color w:val="002060"/>
        </w:rPr>
        <w:t>:</w:t>
      </w:r>
      <w:r>
        <w:rPr>
          <w:rFonts w:ascii="Calibri Light" w:hAnsi="Calibri Light"/>
          <w:b/>
          <w:i/>
          <w:color w:val="002060"/>
        </w:rPr>
        <w:t xml:space="preserve"> Give this information to your front-line employees who can then pass it on to your customers who are victims of identity theft.</w:t>
      </w:r>
      <w:r>
        <w:rPr>
          <w:rFonts w:ascii="Calibri Light" w:hAnsi="Calibri Light"/>
          <w:b/>
          <w:i/>
          <w:color w:val="002060"/>
        </w:rPr>
        <w:br/>
      </w:r>
    </w:p>
    <w:p w:rsidR="008F4BEF" w:rsidRPr="00E00CCD" w:rsidRDefault="008F4BEF" w:rsidP="008F4BEF">
      <w:pPr>
        <w:pStyle w:val="CCIssuance"/>
      </w:pPr>
      <w:r>
        <w:t>FBI nabs 29 in card-cracking scheme</w:t>
      </w:r>
    </w:p>
    <w:p w:rsidR="008F4BEF" w:rsidRDefault="008F4BEF" w:rsidP="008F4BEF">
      <w:pPr>
        <w:pStyle w:val="CCComment"/>
        <w:rPr>
          <w:rFonts w:eastAsia="Times New Roman"/>
          <w:b w:val="0"/>
          <w:i w:val="0"/>
          <w:color w:val="auto"/>
        </w:rPr>
      </w:pPr>
      <w:r w:rsidRPr="00F11858">
        <w:rPr>
          <w:rFonts w:eastAsia="Times New Roman"/>
          <w:b w:val="0"/>
          <w:i w:val="0"/>
          <w:color w:val="auto"/>
        </w:rPr>
        <w:t xml:space="preserve">Twenty-nine northern Illinois and Indiana defendants are facing state or federal charges following a coordinated investigation of “cracking cards,” a scheme that costs banks millions of dollars and has its roots on Chicago’s south side and is spreading to other cities through rap music and social media. Six Indiana defendants include four men who are part of a group that has posted Internet rap videos referring to the cracking cards scheme and displaying large amounts of cash and expensive items, according </w:t>
      </w:r>
      <w:r>
        <w:rPr>
          <w:rFonts w:eastAsia="Times New Roman"/>
          <w:b w:val="0"/>
          <w:i w:val="0"/>
          <w:color w:val="auto"/>
        </w:rPr>
        <w:t>to the charges announced</w:t>
      </w:r>
      <w:r w:rsidRPr="00F11858">
        <w:rPr>
          <w:rFonts w:eastAsia="Times New Roman"/>
          <w:b w:val="0"/>
          <w:i w:val="0"/>
          <w:color w:val="auto"/>
        </w:rPr>
        <w:t>.</w:t>
      </w:r>
    </w:p>
    <w:p w:rsidR="008F4BEF" w:rsidRDefault="008F4BEF" w:rsidP="008F4BEF">
      <w:pPr>
        <w:pStyle w:val="CCComment"/>
        <w:rPr>
          <w:rFonts w:eastAsia="Times New Roman"/>
          <w:b w:val="0"/>
          <w:i w:val="0"/>
          <w:color w:val="auto"/>
        </w:rPr>
      </w:pPr>
      <w:r w:rsidRPr="00F11858">
        <w:rPr>
          <w:rFonts w:eastAsia="Times New Roman"/>
          <w:b w:val="0"/>
          <w:i w:val="0"/>
          <w:color w:val="auto"/>
        </w:rPr>
        <w:t>Since at least 2011, the defendants and other individuals allegedly deposited counterfeit checks into banking accounts belonging to third parties who willingly or unwillingly surrendered their debit cards and PINs for use in the cracking cards schemes. The defendants then allegedly used automated teller machines or point of sale terminals at currency exchanges and retail stores to withdraw or spend funds that the banks advanced to the third-party accounts before learning that the deposited checks were bogus. The banks lost money they advanced to the account holders when the customers denied responsibility for the withdrawals and purchases.</w:t>
      </w:r>
      <w:r>
        <w:rPr>
          <w:rFonts w:eastAsia="Times New Roman"/>
          <w:b w:val="0"/>
          <w:i w:val="0"/>
          <w:color w:val="auto"/>
        </w:rPr>
        <w:t xml:space="preserve"> </w:t>
      </w:r>
      <w:hyperlink r:id="rId60" w:history="1">
        <w:r w:rsidRPr="00F11858">
          <w:rPr>
            <w:rStyle w:val="Hyperlink"/>
            <w:rFonts w:eastAsia="Times New Roman"/>
            <w:b w:val="0"/>
            <w:i w:val="0"/>
          </w:rPr>
          <w:t>FBI Press Release</w:t>
        </w:r>
      </w:hyperlink>
      <w:r>
        <w:rPr>
          <w:rFonts w:eastAsia="Times New Roman"/>
          <w:b w:val="0"/>
          <w:i w:val="0"/>
          <w:color w:val="auto"/>
        </w:rPr>
        <w:t>.</w:t>
      </w:r>
      <w:r>
        <w:rPr>
          <w:rStyle w:val="EndnoteReference"/>
          <w:rFonts w:eastAsia="Times New Roman"/>
          <w:b w:val="0"/>
          <w:i w:val="0"/>
          <w:color w:val="auto"/>
        </w:rPr>
        <w:endnoteReference w:id="31"/>
      </w:r>
    </w:p>
    <w:p w:rsidR="008F4BEF" w:rsidRDefault="008F4BEF" w:rsidP="008F4BEF">
      <w:pPr>
        <w:pStyle w:val="CCComment"/>
        <w:rPr>
          <w:color w:val="002060"/>
        </w:rPr>
      </w:pPr>
      <w:r w:rsidRPr="002B6D28">
        <w:rPr>
          <w:color w:val="002060"/>
        </w:rPr>
        <w:t xml:space="preserve">Comment: </w:t>
      </w:r>
      <w:r>
        <w:rPr>
          <w:color w:val="002060"/>
        </w:rPr>
        <w:t xml:space="preserve">Those arrested are accused of using social media to recruit conspirators who make their bank accounts and PIN </w:t>
      </w:r>
      <w:r w:rsidRPr="00E337C2">
        <w:rPr>
          <w:color w:val="002060"/>
        </w:rPr>
        <w:t>numbers</w:t>
      </w:r>
      <w:r>
        <w:rPr>
          <w:color w:val="002060"/>
        </w:rPr>
        <w:t xml:space="preserve"> available for the scam. The FBI is warning bank customers that fast cash schemes are usually too good to be true and they should always safeguard their account information. Additionally, the FBI has warned those who might attempt such a scheme that it can result in serious state and federal charges that carry severe penalties and consequences.</w:t>
      </w:r>
    </w:p>
    <w:p w:rsidR="008F4BEF" w:rsidRDefault="008F4BEF" w:rsidP="008F4BEF">
      <w:pPr>
        <w:pStyle w:val="CCComment"/>
        <w:rPr>
          <w:color w:val="002060"/>
        </w:rPr>
      </w:pPr>
      <w:r>
        <w:rPr>
          <w:color w:val="002060"/>
        </w:rPr>
        <w:lastRenderedPageBreak/>
        <w:t>Action: Warn your customers that fast cash schemes that are too good to be true usually are. Let them know that if they participate in a card-cracking scheme, they could find themselves as both a victim and a criminal defendant.</w:t>
      </w:r>
    </w:p>
    <w:p w:rsidR="008F4BEF" w:rsidRPr="00AF4BB3" w:rsidRDefault="008F4BEF" w:rsidP="008F4BEF"/>
    <w:p w:rsidR="008F4BEF" w:rsidRDefault="008F4BEF" w:rsidP="008F4BEF"/>
    <w:p w:rsidR="008F4BEF" w:rsidRDefault="008F4BEF" w:rsidP="008F4BEF">
      <w:pPr>
        <w:pStyle w:val="CCTOCHeading"/>
      </w:pPr>
      <w:bookmarkStart w:id="8" w:name="_Toc409519099"/>
      <w:r w:rsidRPr="00E40A20">
        <w:t xml:space="preserve">Publications, </w:t>
      </w:r>
      <w:r>
        <w:t xml:space="preserve">articles, </w:t>
      </w:r>
      <w:r w:rsidRPr="00E40A20">
        <w:t>reports, studies, testimony &amp; speeches</w:t>
      </w:r>
      <w:bookmarkEnd w:id="8"/>
    </w:p>
    <w:p w:rsidR="008F4BEF" w:rsidRPr="00E00CCD" w:rsidRDefault="008F4BEF" w:rsidP="008F4BEF">
      <w:pPr>
        <w:pStyle w:val="CCIssuance"/>
      </w:pPr>
      <w:r>
        <w:t>FinCEN issues Quarterly Update of SAR data</w:t>
      </w:r>
    </w:p>
    <w:p w:rsidR="008F4BEF" w:rsidRDefault="008F4BEF" w:rsidP="008F4BEF">
      <w:pPr>
        <w:pStyle w:val="CCbodytext"/>
      </w:pPr>
      <w:r>
        <w:t xml:space="preserve">Click </w:t>
      </w:r>
      <w:hyperlink r:id="rId61" w:history="1">
        <w:r w:rsidRPr="00C14309">
          <w:rPr>
            <w:rStyle w:val="Hyperlink"/>
          </w:rPr>
          <w:t>here</w:t>
        </w:r>
      </w:hyperlink>
      <w:r>
        <w:rPr>
          <w:rStyle w:val="EndnoteReference"/>
        </w:rPr>
        <w:endnoteReference w:id="32"/>
      </w:r>
      <w:r>
        <w:t xml:space="preserve"> to access FINCEN’s SAR Stats webpage, including its Quarterly Update for April 2015 and its annual report that was issued July 2014.</w:t>
      </w:r>
      <w:r>
        <w:br/>
      </w:r>
    </w:p>
    <w:p w:rsidR="008F4BEF" w:rsidRPr="00E00CCD" w:rsidRDefault="008F4BEF" w:rsidP="008F4BEF">
      <w:pPr>
        <w:pStyle w:val="CCIssuance"/>
      </w:pPr>
      <w:r>
        <w:t>Fed issues 1</w:t>
      </w:r>
      <w:r w:rsidRPr="006E4497">
        <w:rPr>
          <w:vertAlign w:val="superscript"/>
        </w:rPr>
        <w:t>st</w:t>
      </w:r>
      <w:r>
        <w:t xml:space="preserve"> Quarter Consumer Compliance Outlook</w:t>
      </w:r>
    </w:p>
    <w:p w:rsidR="008F4BEF" w:rsidRPr="00CD67F7" w:rsidRDefault="008F4BEF" w:rsidP="008F4BEF">
      <w:pPr>
        <w:rPr>
          <w:rFonts w:ascii="Calibri Light" w:hAnsi="Calibri Light"/>
        </w:rPr>
      </w:pPr>
      <w:r w:rsidRPr="00CD67F7">
        <w:rPr>
          <w:rStyle w:val="e2ma-style"/>
          <w:rFonts w:ascii="Calibri Light" w:hAnsi="Calibri Light"/>
        </w:rPr>
        <w:t xml:space="preserve">The </w:t>
      </w:r>
      <w:hyperlink r:id="rId62" w:history="1">
        <w:r w:rsidRPr="00CD67F7">
          <w:rPr>
            <w:rStyle w:val="Hyperlink"/>
            <w:rFonts w:ascii="Calibri Light" w:hAnsi="Calibri Light"/>
          </w:rPr>
          <w:t>First Quarter 2015 issue</w:t>
        </w:r>
      </w:hyperlink>
      <w:r w:rsidRPr="00CD67F7">
        <w:rPr>
          <w:rStyle w:val="EndnoteReference"/>
          <w:rFonts w:ascii="Calibri Light" w:hAnsi="Calibri Light"/>
        </w:rPr>
        <w:endnoteReference w:id="33"/>
      </w:r>
      <w:r w:rsidRPr="00CD67F7">
        <w:rPr>
          <w:rStyle w:val="e2ma-style"/>
          <w:rFonts w:ascii="Calibri Light" w:hAnsi="Calibri Light"/>
        </w:rPr>
        <w:t xml:space="preserve"> of </w:t>
      </w:r>
      <w:r w:rsidRPr="00CD67F7">
        <w:rPr>
          <w:rStyle w:val="Emphasis"/>
          <w:rFonts w:ascii="Calibri Light" w:hAnsi="Calibri Light"/>
        </w:rPr>
        <w:t>Consumer Compliance Outlook</w:t>
      </w:r>
      <w:r w:rsidRPr="00CD67F7">
        <w:rPr>
          <w:rStyle w:val="e2ma-style"/>
          <w:rFonts w:ascii="Calibri Light" w:hAnsi="Calibri Light"/>
        </w:rPr>
        <w:t xml:space="preserve"> is now available on the </w:t>
      </w:r>
      <w:r w:rsidRPr="00CD67F7">
        <w:rPr>
          <w:rStyle w:val="Emphasis"/>
          <w:rFonts w:ascii="Calibri Light" w:hAnsi="Calibri Light"/>
        </w:rPr>
        <w:t xml:space="preserve">Outlook </w:t>
      </w:r>
      <w:hyperlink r:id="rId63" w:tgtFrame="_self" w:history="1">
        <w:r w:rsidRPr="00CD67F7">
          <w:rPr>
            <w:rStyle w:val="Hyperlink"/>
            <w:rFonts w:ascii="Calibri Light" w:hAnsi="Calibri Light"/>
          </w:rPr>
          <w:t>website</w:t>
        </w:r>
      </w:hyperlink>
      <w:r w:rsidRPr="00CD67F7">
        <w:rPr>
          <w:rStyle w:val="e2ma-style"/>
          <w:rFonts w:ascii="Calibri Light" w:hAnsi="Calibri Light"/>
        </w:rPr>
        <w:t>.</w:t>
      </w:r>
      <w:r w:rsidRPr="00CD67F7">
        <w:rPr>
          <w:rStyle w:val="EndnoteReference"/>
          <w:rFonts w:ascii="Calibri Light" w:hAnsi="Calibri Light"/>
        </w:rPr>
        <w:endnoteReference w:id="34"/>
      </w:r>
      <w:r w:rsidRPr="00CD67F7">
        <w:rPr>
          <w:rStyle w:val="e2ma-style"/>
          <w:rFonts w:ascii="Calibri Light" w:hAnsi="Calibri Light"/>
        </w:rPr>
        <w:t xml:space="preserve"> This issue contains the following articles and features:</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Consumer Compliance Requirements for Commercial Products and Services</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The Expanded Scope of High-Cost Mortgages Under the Dodd-Frank Wall Street Reform and Consumer Protection Act</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News from Washington: Regulatory Updates</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On the Docket: Recent Federal Court Opinions</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Agencies Issue Guidance on Youth Savings Program</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Compliance Spotlight: Waiting period for MPPP lender force-placed flood insurance</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2014 Outlook Live Webinars</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Regulatory Calendar</w:t>
      </w:r>
    </w:p>
    <w:p w:rsidR="008F4BEF" w:rsidRPr="00CD67F7" w:rsidRDefault="008F4BEF" w:rsidP="008F4BEF">
      <w:pPr>
        <w:numPr>
          <w:ilvl w:val="0"/>
          <w:numId w:val="46"/>
        </w:numPr>
        <w:spacing w:before="100" w:beforeAutospacing="1" w:after="100" w:afterAutospacing="1"/>
        <w:rPr>
          <w:rFonts w:ascii="Calibri Light" w:hAnsi="Calibri Light"/>
        </w:rPr>
      </w:pPr>
      <w:r w:rsidRPr="00CD67F7">
        <w:rPr>
          <w:rStyle w:val="e2ma-style"/>
          <w:rFonts w:ascii="Calibri Light" w:hAnsi="Calibri Light"/>
        </w:rPr>
        <w:t>Calendar of Events</w:t>
      </w:r>
    </w:p>
    <w:p w:rsidR="008F4BEF" w:rsidRPr="00CD67F7" w:rsidRDefault="00123870" w:rsidP="008F4BEF">
      <w:pPr>
        <w:spacing w:before="100" w:beforeAutospacing="1" w:after="100" w:afterAutospacing="1"/>
        <w:rPr>
          <w:rFonts w:ascii="Calibri Light" w:hAnsi="Calibri Light"/>
        </w:rPr>
      </w:pPr>
      <w:hyperlink r:id="rId64" w:tooltip="Q1 2015 entire issue pdf" w:history="1">
        <w:r w:rsidR="008F4BEF" w:rsidRPr="00CD67F7">
          <w:rPr>
            <w:rStyle w:val="Hyperlink"/>
            <w:rFonts w:ascii="Calibri Light" w:hAnsi="Calibri Light"/>
          </w:rPr>
          <w:t>Entire issue (pdf)</w:t>
        </w:r>
      </w:hyperlink>
      <w:r w:rsidR="008F4BEF" w:rsidRPr="00CD67F7">
        <w:rPr>
          <w:rStyle w:val="EndnoteReference"/>
          <w:rFonts w:ascii="Calibri Light" w:hAnsi="Calibri Light"/>
        </w:rPr>
        <w:endnoteReference w:id="35"/>
      </w:r>
      <w:r w:rsidR="008F4BEF" w:rsidRPr="00CD67F7">
        <w:rPr>
          <w:rStyle w:val="e2ma-style"/>
          <w:rFonts w:ascii="Calibri Light" w:hAnsi="Calibri Light"/>
        </w:rPr>
        <w:t> </w:t>
      </w:r>
    </w:p>
    <w:p w:rsidR="008F4BEF" w:rsidRPr="00E00CCD" w:rsidRDefault="008F4BEF" w:rsidP="008F4BEF">
      <w:pPr>
        <w:pStyle w:val="CCIssuance"/>
      </w:pPr>
      <w:r>
        <w:t>FedFocus</w:t>
      </w:r>
    </w:p>
    <w:p w:rsidR="008F4BEF" w:rsidRDefault="00123870" w:rsidP="008F4BEF">
      <w:pPr>
        <w:pStyle w:val="CCComment"/>
        <w:rPr>
          <w:rFonts w:eastAsia="Times New Roman"/>
          <w:b w:val="0"/>
          <w:i w:val="0"/>
          <w:color w:val="auto"/>
        </w:rPr>
      </w:pPr>
      <w:hyperlink r:id="rId65" w:history="1">
        <w:r w:rsidR="008F4BEF" w:rsidRPr="001D4076">
          <w:rPr>
            <w:rStyle w:val="Hyperlink"/>
            <w:rFonts w:eastAsia="Times New Roman"/>
            <w:b w:val="0"/>
            <w:i w:val="0"/>
          </w:rPr>
          <w:t>FedFocus</w:t>
        </w:r>
      </w:hyperlink>
      <w:r w:rsidR="008F4BEF">
        <w:rPr>
          <w:rStyle w:val="EndnoteReference"/>
          <w:rFonts w:eastAsia="Times New Roman"/>
          <w:b w:val="0"/>
          <w:i w:val="0"/>
          <w:color w:val="auto"/>
        </w:rPr>
        <w:endnoteReference w:id="36"/>
      </w:r>
      <w:r w:rsidR="008F4BEF">
        <w:rPr>
          <w:rFonts w:eastAsia="Times New Roman"/>
          <w:b w:val="0"/>
          <w:i w:val="0"/>
          <w:color w:val="auto"/>
        </w:rPr>
        <w:t xml:space="preserve"> is the s</w:t>
      </w:r>
      <w:r w:rsidR="008F4BEF" w:rsidRPr="001D4076">
        <w:rPr>
          <w:rFonts w:eastAsia="Times New Roman"/>
          <w:b w:val="0"/>
          <w:i w:val="0"/>
          <w:color w:val="auto"/>
        </w:rPr>
        <w:t>ource for the latest Federal Reserve Financial Services news. Each edition keeps you informed about hot topics in the industry, as well as provides insight into the value of Federal Reserve Financial Services</w:t>
      </w:r>
      <w:r w:rsidR="008F4BEF">
        <w:rPr>
          <w:rFonts w:eastAsia="Times New Roman"/>
          <w:b w:val="0"/>
          <w:i w:val="0"/>
          <w:color w:val="auto"/>
        </w:rPr>
        <w:t>. In this month’s edition:</w:t>
      </w:r>
    </w:p>
    <w:p w:rsidR="008F4BEF" w:rsidRPr="009C46B6" w:rsidRDefault="00123870" w:rsidP="008F4BEF">
      <w:pPr>
        <w:numPr>
          <w:ilvl w:val="0"/>
          <w:numId w:val="44"/>
        </w:numPr>
        <w:spacing w:line="257" w:lineRule="atLeast"/>
        <w:textAlignment w:val="baseline"/>
        <w:rPr>
          <w:rFonts w:ascii="Calibri Light" w:hAnsi="Calibri Light"/>
          <w:color w:val="0000FF"/>
        </w:rPr>
      </w:pPr>
      <w:hyperlink r:id="rId66" w:history="1">
        <w:r w:rsidR="008F4BEF" w:rsidRPr="009C46B6">
          <w:rPr>
            <w:rStyle w:val="Hyperlink"/>
            <w:rFonts w:ascii="Calibri Light" w:hAnsi="Calibri Light"/>
            <w:bdr w:val="none" w:sz="0" w:space="0" w:color="auto" w:frame="1"/>
          </w:rPr>
          <w:t>A conversation about security in a rapidly changing environment</w:t>
        </w:r>
      </w:hyperlink>
    </w:p>
    <w:p w:rsidR="008F4BEF" w:rsidRPr="009C46B6" w:rsidRDefault="00123870" w:rsidP="008F4BEF">
      <w:pPr>
        <w:numPr>
          <w:ilvl w:val="0"/>
          <w:numId w:val="44"/>
        </w:numPr>
        <w:spacing w:line="257" w:lineRule="atLeast"/>
        <w:textAlignment w:val="baseline"/>
        <w:rPr>
          <w:rFonts w:ascii="Calibri Light" w:hAnsi="Calibri Light"/>
          <w:color w:val="0000FF"/>
        </w:rPr>
      </w:pPr>
      <w:hyperlink r:id="rId67" w:history="1">
        <w:r w:rsidR="008F4BEF" w:rsidRPr="009C46B6">
          <w:rPr>
            <w:rStyle w:val="Hyperlink"/>
            <w:rFonts w:ascii="Calibri Light" w:hAnsi="Calibri Light"/>
            <w:bdr w:val="none" w:sz="0" w:space="0" w:color="auto" w:frame="1"/>
          </w:rPr>
          <w:t>Payments Stakeholders: Can't We All Just Work Together?</w:t>
        </w:r>
      </w:hyperlink>
    </w:p>
    <w:p w:rsidR="008F4BEF" w:rsidRPr="009C46B6" w:rsidRDefault="00123870" w:rsidP="008F4BEF">
      <w:pPr>
        <w:numPr>
          <w:ilvl w:val="0"/>
          <w:numId w:val="44"/>
        </w:numPr>
        <w:spacing w:line="257" w:lineRule="atLeast"/>
        <w:textAlignment w:val="baseline"/>
        <w:rPr>
          <w:rFonts w:ascii="Calibri Light" w:hAnsi="Calibri Light"/>
          <w:color w:val="0000FF"/>
        </w:rPr>
      </w:pPr>
      <w:hyperlink r:id="rId68" w:history="1">
        <w:r w:rsidR="008F4BEF" w:rsidRPr="009C46B6">
          <w:rPr>
            <w:rStyle w:val="Hyperlink"/>
            <w:rFonts w:ascii="Calibri Light" w:hAnsi="Calibri Light"/>
            <w:bdr w:val="none" w:sz="0" w:space="0" w:color="auto" w:frame="1"/>
          </w:rPr>
          <w:t>An ode to FEDucation</w:t>
        </w:r>
      </w:hyperlink>
    </w:p>
    <w:p w:rsidR="008F4BEF" w:rsidRDefault="008F4BEF" w:rsidP="008F4BEF">
      <w:pPr>
        <w:pStyle w:val="CCComment"/>
        <w:ind w:left="720"/>
        <w:rPr>
          <w:rFonts w:eastAsia="Times New Roman"/>
          <w:b w:val="0"/>
          <w:i w:val="0"/>
          <w:color w:val="auto"/>
        </w:rPr>
      </w:pPr>
    </w:p>
    <w:p w:rsidR="008F4BEF" w:rsidRPr="00E00CCD" w:rsidRDefault="008F4BEF" w:rsidP="008F4BEF">
      <w:pPr>
        <w:pStyle w:val="CCIssuance"/>
      </w:pPr>
      <w:r>
        <w:t>FedFlash</w:t>
      </w:r>
    </w:p>
    <w:p w:rsidR="008F4BEF" w:rsidRPr="004824D2" w:rsidRDefault="00123870" w:rsidP="008F4BEF">
      <w:pPr>
        <w:pStyle w:val="CCComment"/>
        <w:rPr>
          <w:rFonts w:eastAsia="Times New Roman"/>
          <w:b w:val="0"/>
          <w:i w:val="0"/>
          <w:color w:val="002060"/>
        </w:rPr>
      </w:pPr>
      <w:hyperlink r:id="rId69" w:history="1">
        <w:r w:rsidR="008F4BEF" w:rsidRPr="00965265">
          <w:rPr>
            <w:rStyle w:val="Hyperlink"/>
            <w:rFonts w:eastAsia="Times New Roman"/>
            <w:b w:val="0"/>
            <w:i w:val="0"/>
          </w:rPr>
          <w:t>FedFlash</w:t>
        </w:r>
      </w:hyperlink>
      <w:r w:rsidR="008F4BEF">
        <w:rPr>
          <w:rStyle w:val="EndnoteReference"/>
          <w:rFonts w:eastAsia="Times New Roman"/>
          <w:b w:val="0"/>
          <w:i w:val="0"/>
          <w:color w:val="auto"/>
        </w:rPr>
        <w:endnoteReference w:id="37"/>
      </w:r>
      <w:r w:rsidR="008F4BEF" w:rsidRPr="00965265">
        <w:rPr>
          <w:rFonts w:eastAsia="Times New Roman"/>
          <w:b w:val="0"/>
          <w:i w:val="0"/>
          <w:color w:val="auto"/>
        </w:rPr>
        <w:t xml:space="preserve"> is your source for the latest Federal Reserve Financial Services operational news. Each bulletin keeps you informed of issues critical to your day-to-day operations, providing you with National an</w:t>
      </w:r>
      <w:r w:rsidR="008F4BEF">
        <w:rPr>
          <w:rFonts w:eastAsia="Times New Roman"/>
          <w:b w:val="0"/>
          <w:i w:val="0"/>
          <w:color w:val="auto"/>
        </w:rPr>
        <w:t>d District updates regarding the Fed’s</w:t>
      </w:r>
      <w:r w:rsidR="008F4BEF" w:rsidRPr="00965265">
        <w:rPr>
          <w:rFonts w:eastAsia="Times New Roman"/>
          <w:b w:val="0"/>
          <w:i w:val="0"/>
          <w:color w:val="auto"/>
        </w:rPr>
        <w:t xml:space="preserve"> products and services, processes, technical protocols and contact information.</w:t>
      </w:r>
      <w:r w:rsidR="008F4BEF">
        <w:rPr>
          <w:rFonts w:eastAsia="Times New Roman"/>
          <w:b w:val="0"/>
          <w:i w:val="0"/>
          <w:color w:val="auto"/>
        </w:rPr>
        <w:t xml:space="preserve"> Included in this month’s edition:</w:t>
      </w:r>
    </w:p>
    <w:p w:rsidR="008F4BEF" w:rsidRPr="00CD67F7" w:rsidRDefault="008F4BEF" w:rsidP="008F4BEF">
      <w:pPr>
        <w:pStyle w:val="ListParagraph"/>
        <w:numPr>
          <w:ilvl w:val="0"/>
          <w:numId w:val="50"/>
        </w:numPr>
        <w:spacing w:after="160" w:line="259" w:lineRule="auto"/>
        <w:rPr>
          <w:rFonts w:ascii="Calibri Light" w:hAnsi="Calibri Light" w:cs="Arial"/>
          <w:color w:val="0000FF"/>
          <w:sz w:val="22"/>
          <w:szCs w:val="22"/>
          <w:u w:val="single"/>
        </w:rPr>
      </w:pPr>
      <w:r w:rsidRPr="00CD67F7">
        <w:rPr>
          <w:rFonts w:ascii="Calibri Light" w:hAnsi="Calibri Light" w:cs="Arial"/>
          <w:color w:val="0000FF"/>
          <w:sz w:val="22"/>
          <w:szCs w:val="22"/>
          <w:u w:val="single"/>
        </w:rPr>
        <w:t>Commercial check and ACH posting rule changes</w:t>
      </w:r>
    </w:p>
    <w:p w:rsidR="008F4BEF" w:rsidRPr="00CD67F7" w:rsidRDefault="008F4BEF" w:rsidP="008F4BEF">
      <w:pPr>
        <w:pStyle w:val="ListParagraph"/>
        <w:numPr>
          <w:ilvl w:val="0"/>
          <w:numId w:val="50"/>
        </w:numPr>
        <w:spacing w:after="160" w:line="259" w:lineRule="auto"/>
        <w:rPr>
          <w:rFonts w:ascii="Calibri Light" w:hAnsi="Calibri Light" w:cs="Arial"/>
          <w:color w:val="0000FF"/>
          <w:sz w:val="22"/>
          <w:szCs w:val="22"/>
          <w:u w:val="single"/>
        </w:rPr>
      </w:pPr>
      <w:r w:rsidRPr="00CD67F7">
        <w:rPr>
          <w:rFonts w:ascii="Calibri Light" w:hAnsi="Calibri Light" w:cs="Arial"/>
          <w:color w:val="0000FF"/>
          <w:sz w:val="22"/>
          <w:szCs w:val="22"/>
          <w:u w:val="single"/>
        </w:rPr>
        <w:t>Upcoming Check Services operations freezes</w:t>
      </w:r>
    </w:p>
    <w:p w:rsidR="008F4BEF" w:rsidRPr="00CD67F7" w:rsidRDefault="008F4BEF" w:rsidP="008F4BEF">
      <w:pPr>
        <w:pStyle w:val="ListParagraph"/>
        <w:numPr>
          <w:ilvl w:val="0"/>
          <w:numId w:val="50"/>
        </w:numPr>
        <w:spacing w:after="160" w:line="259" w:lineRule="auto"/>
        <w:rPr>
          <w:color w:val="0000FF"/>
          <w:sz w:val="22"/>
          <w:szCs w:val="22"/>
          <w:u w:val="single"/>
        </w:rPr>
      </w:pPr>
      <w:r w:rsidRPr="00CD67F7">
        <w:rPr>
          <w:rFonts w:ascii="Calibri Light" w:hAnsi="Calibri Light" w:cs="Arial"/>
          <w:color w:val="0000FF"/>
          <w:sz w:val="22"/>
          <w:szCs w:val="22"/>
          <w:u w:val="single"/>
        </w:rPr>
        <w:lastRenderedPageBreak/>
        <w:t>Federal Reserve Banks to publish new FedReceipt® RTNs</w:t>
      </w:r>
    </w:p>
    <w:p w:rsidR="008F4BEF" w:rsidRPr="00E00CCD" w:rsidRDefault="008F4BEF" w:rsidP="008F4BEF">
      <w:pPr>
        <w:pStyle w:val="CCIssuance"/>
      </w:pPr>
      <w:bookmarkStart w:id="9" w:name="_Toc409519100"/>
      <w:r>
        <w:br/>
        <w:t>April residential construction statistics</w:t>
      </w:r>
    </w:p>
    <w:p w:rsidR="008F4BEF" w:rsidRDefault="008F4BEF" w:rsidP="008F4BEF">
      <w:pPr>
        <w:pStyle w:val="CCTOCHeading"/>
        <w:rPr>
          <w:rFonts w:ascii="Calibri Light" w:eastAsiaTheme="minorHAnsi" w:hAnsi="Calibri Light"/>
          <w:b w:val="0"/>
          <w:color w:val="auto"/>
          <w:sz w:val="22"/>
          <w:szCs w:val="22"/>
        </w:rPr>
      </w:pPr>
      <w:r>
        <w:rPr>
          <w:rFonts w:ascii="Calibri Light" w:eastAsiaTheme="minorHAnsi" w:hAnsi="Calibri Light"/>
          <w:b w:val="0"/>
          <w:color w:val="auto"/>
          <w:sz w:val="22"/>
          <w:szCs w:val="22"/>
        </w:rPr>
        <w:t>The HUD</w:t>
      </w:r>
      <w:r w:rsidRPr="008E1725">
        <w:rPr>
          <w:rFonts w:ascii="Calibri Light" w:eastAsiaTheme="minorHAnsi" w:hAnsi="Calibri Light"/>
          <w:b w:val="0"/>
          <w:color w:val="auto"/>
          <w:sz w:val="22"/>
          <w:szCs w:val="22"/>
        </w:rPr>
        <w:t xml:space="preserve"> and the U.S. Census Bureau </w:t>
      </w:r>
      <w:r>
        <w:rPr>
          <w:rFonts w:ascii="Calibri Light" w:eastAsiaTheme="minorHAnsi" w:hAnsi="Calibri Light"/>
          <w:b w:val="0"/>
          <w:color w:val="auto"/>
          <w:sz w:val="22"/>
          <w:szCs w:val="22"/>
        </w:rPr>
        <w:t xml:space="preserve">jointly announced the </w:t>
      </w:r>
      <w:hyperlink r:id="rId70" w:history="1">
        <w:r w:rsidRPr="008E1725">
          <w:rPr>
            <w:rStyle w:val="Hyperlink"/>
            <w:rFonts w:ascii="Calibri Light" w:eastAsiaTheme="minorHAnsi" w:hAnsi="Calibri Light"/>
            <w:b w:val="0"/>
            <w:sz w:val="22"/>
            <w:szCs w:val="22"/>
          </w:rPr>
          <w:t>new residential construction statistics for April 2015</w:t>
        </w:r>
      </w:hyperlink>
      <w:r>
        <w:rPr>
          <w:rFonts w:ascii="Calibri Light" w:eastAsiaTheme="minorHAnsi" w:hAnsi="Calibri Light"/>
          <w:b w:val="0"/>
          <w:color w:val="auto"/>
          <w:sz w:val="22"/>
          <w:szCs w:val="22"/>
        </w:rPr>
        <w:t>.</w:t>
      </w:r>
      <w:r>
        <w:rPr>
          <w:rStyle w:val="EndnoteReference"/>
          <w:rFonts w:ascii="Calibri Light" w:eastAsiaTheme="minorHAnsi" w:hAnsi="Calibri Light"/>
          <w:b w:val="0"/>
          <w:color w:val="auto"/>
          <w:sz w:val="22"/>
          <w:szCs w:val="22"/>
        </w:rPr>
        <w:endnoteReference w:id="38"/>
      </w:r>
    </w:p>
    <w:p w:rsidR="008F4BEF" w:rsidRPr="00E337C2" w:rsidRDefault="008F4BEF" w:rsidP="008F4BEF">
      <w:pPr>
        <w:pStyle w:val="CCTOCHeading"/>
        <w:rPr>
          <w:rFonts w:ascii="Calibri Light" w:eastAsiaTheme="minorHAnsi" w:hAnsi="Calibri Light"/>
          <w:b w:val="0"/>
          <w:i/>
          <w:color w:val="002060"/>
          <w:sz w:val="22"/>
          <w:szCs w:val="22"/>
        </w:rPr>
      </w:pPr>
      <w:r w:rsidRPr="00E337C2">
        <w:rPr>
          <w:rFonts w:ascii="Calibri Light" w:hAnsi="Calibri Light"/>
          <w:i/>
          <w:color w:val="002060"/>
          <w:sz w:val="21"/>
          <w:szCs w:val="21"/>
          <w:shd w:val="clear" w:color="auto" w:fill="FFFFFF"/>
        </w:rPr>
        <w:t xml:space="preserve">Comment: Do you know how many new homes constructed in 2013 had four bedrooms or more? What about the average price of a new home sold in 2013? You can discover the answers by exploring the interactive house on this </w:t>
      </w:r>
      <w:hyperlink r:id="rId71" w:history="1">
        <w:r w:rsidRPr="00E337C2">
          <w:rPr>
            <w:rStyle w:val="Hyperlink"/>
            <w:rFonts w:ascii="Calibri Light" w:hAnsi="Calibri Light"/>
            <w:i/>
            <w:sz w:val="21"/>
            <w:szCs w:val="21"/>
            <w:shd w:val="clear" w:color="auto" w:fill="FFFFFF"/>
          </w:rPr>
          <w:t>webpage</w:t>
        </w:r>
      </w:hyperlink>
      <w:r w:rsidRPr="00E337C2">
        <w:rPr>
          <w:rFonts w:ascii="Calibri Light" w:hAnsi="Calibri Light"/>
          <w:i/>
          <w:color w:val="002060"/>
          <w:sz w:val="21"/>
          <w:szCs w:val="21"/>
          <w:shd w:val="clear" w:color="auto" w:fill="FFFFFF"/>
        </w:rPr>
        <w:t>, which highlights annual data from the Survey of Construction. All characteristics data, including estimates for new multifamily housing, are on the Census Bureau's Characteristics of New Housing page.</w:t>
      </w:r>
    </w:p>
    <w:p w:rsidR="008F4BEF" w:rsidRDefault="008F4BEF" w:rsidP="008F4BEF">
      <w:pPr>
        <w:pStyle w:val="CCTOCHeading"/>
      </w:pPr>
      <w:r>
        <w:t>Selected federal rules proposed</w:t>
      </w:r>
      <w:bookmarkEnd w:id="9"/>
    </w:p>
    <w:p w:rsidR="008F4BEF" w:rsidRPr="005C1AB7" w:rsidRDefault="008F4BEF" w:rsidP="008F4BEF">
      <w:pPr>
        <w:pStyle w:val="CCIssuance"/>
        <w:rPr>
          <w:rFonts w:ascii="Calibri Light" w:hAnsi="Calibri Light"/>
          <w:b w:val="0"/>
          <w:color w:val="auto"/>
        </w:rPr>
      </w:pPr>
      <w:r>
        <w:rPr>
          <w:rFonts w:ascii="Calibri Light" w:hAnsi="Calibri Light"/>
          <w:b w:val="0"/>
        </w:rPr>
        <w:t>Proposed rules are included only when it is imperative that community banks comment.</w:t>
      </w:r>
    </w:p>
    <w:p w:rsidR="008F4BEF" w:rsidRDefault="008F4BEF" w:rsidP="008F4BEF">
      <w:pPr>
        <w:pStyle w:val="CCIssuance"/>
        <w:spacing w:after="0"/>
        <w:rPr>
          <w:rFonts w:ascii="Calibri Light" w:hAnsi="Calibri Light"/>
          <w:sz w:val="18"/>
          <w:szCs w:val="18"/>
        </w:rPr>
      </w:pPr>
      <w:r>
        <w:rPr>
          <w:rFonts w:ascii="Calibri Light" w:hAnsi="Calibri Light"/>
          <w:sz w:val="18"/>
          <w:szCs w:val="18"/>
        </w:rPr>
        <w:t>COMMENTS</w:t>
      </w:r>
    </w:p>
    <w:p w:rsidR="008F4BEF" w:rsidRDefault="008F4BEF" w:rsidP="008F4BEF">
      <w:pPr>
        <w:pStyle w:val="CCIssuance"/>
        <w:pBdr>
          <w:bottom w:val="single" w:sz="12" w:space="1" w:color="auto"/>
        </w:pBdr>
        <w:spacing w:after="0"/>
        <w:rPr>
          <w:rFonts w:ascii="Calibri Light" w:hAnsi="Calibri Light"/>
          <w:sz w:val="18"/>
          <w:szCs w:val="18"/>
        </w:rPr>
      </w:pPr>
      <w:r>
        <w:rPr>
          <w:rFonts w:ascii="Calibri Light" w:hAnsi="Calibri Light"/>
          <w:sz w:val="18"/>
          <w:szCs w:val="18"/>
        </w:rPr>
        <w:t xml:space="preserve">CLOSE </w:t>
      </w:r>
      <w:r>
        <w:rPr>
          <w:rFonts w:ascii="Calibri Light" w:hAnsi="Calibri Light"/>
          <w:sz w:val="18"/>
          <w:szCs w:val="18"/>
        </w:rPr>
        <w:tab/>
      </w:r>
      <w:r>
        <w:rPr>
          <w:rFonts w:ascii="Calibri Light" w:hAnsi="Calibri Light"/>
          <w:sz w:val="18"/>
          <w:szCs w:val="18"/>
        </w:rPr>
        <w:tab/>
        <w:t>SUMMARY OF PROPOSED RULE</w:t>
      </w:r>
    </w:p>
    <w:p w:rsidR="008F4BEF" w:rsidRPr="008311E6" w:rsidRDefault="008F4BEF" w:rsidP="008F4BEF">
      <w:pPr>
        <w:spacing w:before="100" w:beforeAutospacing="1" w:after="100" w:afterAutospacing="1"/>
        <w:ind w:left="1440" w:hanging="1440"/>
        <w:rPr>
          <w:rFonts w:ascii="Calibri Light" w:hAnsi="Calibri Light"/>
        </w:rPr>
      </w:pPr>
      <w:r>
        <w:rPr>
          <w:rFonts w:ascii="Calibri Light" w:hAnsi="Calibri Light"/>
        </w:rPr>
        <w:t xml:space="preserve">Good News! </w:t>
      </w:r>
      <w:r w:rsidRPr="008311E6">
        <w:rPr>
          <w:rFonts w:ascii="Calibri Light" w:hAnsi="Calibri Light"/>
        </w:rPr>
        <w:t xml:space="preserve">We didn’t </w:t>
      </w:r>
      <w:r>
        <w:rPr>
          <w:rFonts w:ascii="Calibri Light" w:hAnsi="Calibri Light"/>
        </w:rPr>
        <w:t>identify any federal rules propos</w:t>
      </w:r>
      <w:r w:rsidRPr="008311E6">
        <w:rPr>
          <w:rFonts w:ascii="Calibri Light" w:hAnsi="Calibri Light"/>
        </w:rPr>
        <w:t xml:space="preserve">ed since our </w:t>
      </w:r>
      <w:r>
        <w:rPr>
          <w:rFonts w:ascii="Calibri Light" w:hAnsi="Calibri Light"/>
        </w:rPr>
        <w:t>April</w:t>
      </w:r>
      <w:r w:rsidRPr="008311E6">
        <w:rPr>
          <w:rFonts w:ascii="Calibri Light" w:hAnsi="Calibri Light"/>
        </w:rPr>
        <w:t xml:space="preserve"> edition that warranted reporting.</w:t>
      </w:r>
    </w:p>
    <w:p w:rsidR="008F4BEF" w:rsidRPr="005C1AB7" w:rsidRDefault="008F4BEF" w:rsidP="008F4BEF">
      <w:pPr>
        <w:pStyle w:val="CCComment"/>
        <w:ind w:left="1440" w:hanging="1440"/>
        <w:rPr>
          <w:rFonts w:eastAsia="Times New Roman"/>
          <w:i w:val="0"/>
          <w:color w:val="auto"/>
          <w:sz w:val="18"/>
          <w:szCs w:val="18"/>
        </w:rPr>
      </w:pPr>
    </w:p>
    <w:p w:rsidR="008F4BEF" w:rsidRDefault="008F4BEF" w:rsidP="008F4BEF">
      <w:pPr>
        <w:pStyle w:val="CCTOCHeading"/>
      </w:pPr>
      <w:bookmarkStart w:id="10" w:name="_Toc409519101"/>
      <w:r>
        <w:t xml:space="preserve">Selected federal </w:t>
      </w:r>
      <w:r w:rsidRPr="00AD43F2">
        <w:t>rules</w:t>
      </w:r>
      <w:r>
        <w:t xml:space="preserve"> adopted since last issue</w:t>
      </w:r>
      <w:bookmarkEnd w:id="10"/>
    </w:p>
    <w:p w:rsidR="008F4BEF" w:rsidRPr="005C1AB7" w:rsidRDefault="008F4BEF" w:rsidP="008F4BEF">
      <w:pPr>
        <w:pStyle w:val="CCIssuance"/>
        <w:rPr>
          <w:rFonts w:ascii="Calibri Light" w:hAnsi="Calibri Light"/>
          <w:b w:val="0"/>
          <w:color w:val="auto"/>
        </w:rPr>
      </w:pPr>
      <w:r>
        <w:rPr>
          <w:rFonts w:ascii="Calibri Light" w:hAnsi="Calibri Light"/>
          <w:b w:val="0"/>
        </w:rPr>
        <w:t>Not all final rules are included. Only rules affecting community banks are reported, but we make no guarantees that these are all the final rules your bank needs to know about.</w:t>
      </w:r>
    </w:p>
    <w:p w:rsidR="008F4BEF" w:rsidRDefault="008F4BEF" w:rsidP="008F4BEF">
      <w:pPr>
        <w:pBdr>
          <w:bottom w:val="single" w:sz="12" w:space="1" w:color="auto"/>
        </w:pBdr>
        <w:ind w:left="1440" w:hanging="1440"/>
        <w:rPr>
          <w:rFonts w:ascii="Calibri Light" w:hAnsi="Calibri Light"/>
          <w:b/>
          <w:sz w:val="18"/>
          <w:szCs w:val="18"/>
        </w:rPr>
      </w:pPr>
    </w:p>
    <w:p w:rsidR="008F4BEF" w:rsidRDefault="008F4BEF" w:rsidP="008F4BEF">
      <w:pPr>
        <w:pBdr>
          <w:bottom w:val="single" w:sz="12" w:space="1" w:color="auto"/>
        </w:pBdr>
        <w:ind w:left="1440" w:hanging="1440"/>
        <w:rPr>
          <w:rFonts w:ascii="Calibri Light" w:hAnsi="Calibri Light"/>
          <w:b/>
          <w:sz w:val="18"/>
          <w:szCs w:val="18"/>
        </w:rPr>
      </w:pPr>
      <w:r>
        <w:rPr>
          <w:rFonts w:ascii="Calibri Light" w:hAnsi="Calibri Light"/>
          <w:b/>
          <w:sz w:val="18"/>
          <w:szCs w:val="18"/>
        </w:rPr>
        <w:t xml:space="preserve">EFFECTIVE </w:t>
      </w:r>
    </w:p>
    <w:p w:rsidR="008F4BEF" w:rsidRDefault="008F4BEF" w:rsidP="008F4BEF">
      <w:pPr>
        <w:pBdr>
          <w:bottom w:val="single" w:sz="12" w:space="1" w:color="auto"/>
        </w:pBdr>
        <w:ind w:left="1440" w:hanging="1440"/>
        <w:rPr>
          <w:rFonts w:ascii="Calibri Light" w:hAnsi="Calibri Light"/>
          <w:b/>
          <w:sz w:val="18"/>
          <w:szCs w:val="18"/>
        </w:rPr>
      </w:pPr>
      <w:r>
        <w:rPr>
          <w:rFonts w:ascii="Calibri Light" w:hAnsi="Calibri Light"/>
          <w:b/>
          <w:sz w:val="18"/>
          <w:szCs w:val="18"/>
        </w:rPr>
        <w:t>DATE:</w:t>
      </w:r>
      <w:r>
        <w:rPr>
          <w:rFonts w:ascii="Calibri Light" w:hAnsi="Calibri Light"/>
          <w:b/>
          <w:sz w:val="18"/>
          <w:szCs w:val="18"/>
        </w:rPr>
        <w:tab/>
        <w:t>SUMMARY OF FINAL RULE:</w:t>
      </w:r>
    </w:p>
    <w:p w:rsidR="008F4BEF" w:rsidRPr="008311E6" w:rsidRDefault="008F4BEF" w:rsidP="008F4BEF">
      <w:pPr>
        <w:spacing w:before="100" w:beforeAutospacing="1" w:after="100" w:afterAutospacing="1"/>
        <w:ind w:left="1440" w:hanging="1440"/>
        <w:rPr>
          <w:rFonts w:ascii="Calibri Light" w:hAnsi="Calibri Light"/>
        </w:rPr>
      </w:pPr>
      <w:r>
        <w:rPr>
          <w:rFonts w:ascii="Calibri Light" w:hAnsi="Calibri Light"/>
        </w:rPr>
        <w:t xml:space="preserve">Good News! </w:t>
      </w:r>
      <w:r w:rsidRPr="008311E6">
        <w:rPr>
          <w:rFonts w:ascii="Calibri Light" w:hAnsi="Calibri Light"/>
        </w:rPr>
        <w:t>We didn’t identify any federal rules adopted since our</w:t>
      </w:r>
      <w:r>
        <w:rPr>
          <w:rFonts w:ascii="Calibri Light" w:hAnsi="Calibri Light"/>
        </w:rPr>
        <w:t xml:space="preserve"> April</w:t>
      </w:r>
      <w:r w:rsidRPr="008311E6">
        <w:rPr>
          <w:rFonts w:ascii="Calibri Light" w:hAnsi="Calibri Light"/>
        </w:rPr>
        <w:t xml:space="preserve"> e</w:t>
      </w:r>
      <w:r>
        <w:rPr>
          <w:rFonts w:ascii="Calibri Light" w:hAnsi="Calibri Light"/>
        </w:rPr>
        <w:t xml:space="preserve">dition that warranted reporting, </w:t>
      </w:r>
    </w:p>
    <w:p w:rsidR="008F4BEF" w:rsidRDefault="008F4BEF" w:rsidP="008F4BEF">
      <w:pPr>
        <w:rPr>
          <w:rFonts w:ascii="ITC Avant Garde Gothic Demi" w:eastAsia="Times New Roman" w:hAnsi="ITC Avant Garde Gothic Demi" w:cs="Arial"/>
          <w:b/>
          <w:color w:val="03653F"/>
          <w:sz w:val="40"/>
          <w:szCs w:val="40"/>
        </w:rPr>
      </w:pPr>
      <w:bookmarkStart w:id="11" w:name="_Toc409519102"/>
      <w:r>
        <w:br w:type="page"/>
      </w:r>
    </w:p>
    <w:p w:rsidR="008F4BEF" w:rsidRDefault="008F4BEF" w:rsidP="008F4BEF">
      <w:pPr>
        <w:pStyle w:val="CCTOCHeading"/>
      </w:pPr>
      <w:r w:rsidRPr="00AD43F2">
        <w:lastRenderedPageBreak/>
        <w:t xml:space="preserve">Selected </w:t>
      </w:r>
      <w:r>
        <w:t>federal rules - upcoming effective</w:t>
      </w:r>
      <w:r w:rsidRPr="00AD43F2">
        <w:t xml:space="preserve"> dates</w:t>
      </w:r>
      <w:bookmarkEnd w:id="11"/>
    </w:p>
    <w:p w:rsidR="008F4BEF" w:rsidRPr="005C1AB7" w:rsidRDefault="008F4BEF" w:rsidP="008F4BEF">
      <w:pPr>
        <w:pStyle w:val="CCIssuance"/>
        <w:rPr>
          <w:rFonts w:ascii="Calibri Light" w:hAnsi="Calibri Light"/>
          <w:b w:val="0"/>
          <w:color w:val="auto"/>
        </w:rPr>
      </w:pPr>
      <w:r>
        <w:rPr>
          <w:rFonts w:ascii="Calibri Light" w:hAnsi="Calibri Light"/>
          <w:b w:val="0"/>
        </w:rPr>
        <w:t>Not all final rules are included. Only rules affecting community banks are reported, but we make no guarantees that these are all the final rules your bank needs to know about.</w:t>
      </w:r>
    </w:p>
    <w:p w:rsidR="008F4BEF" w:rsidRDefault="008F4BEF" w:rsidP="008F4BEF">
      <w:pPr>
        <w:pBdr>
          <w:bottom w:val="single" w:sz="12" w:space="1" w:color="auto"/>
        </w:pBdr>
        <w:ind w:left="1440" w:hanging="1440"/>
        <w:rPr>
          <w:rFonts w:ascii="Calibri Light" w:hAnsi="Calibri Light"/>
          <w:b/>
          <w:sz w:val="18"/>
          <w:szCs w:val="18"/>
        </w:rPr>
      </w:pPr>
      <w:r>
        <w:rPr>
          <w:rFonts w:ascii="Calibri Light" w:hAnsi="Calibri Light"/>
          <w:b/>
          <w:sz w:val="18"/>
          <w:szCs w:val="18"/>
        </w:rPr>
        <w:t xml:space="preserve">EFFECTIVE </w:t>
      </w:r>
    </w:p>
    <w:p w:rsidR="008F4BEF" w:rsidRDefault="008F4BEF" w:rsidP="008F4BEF">
      <w:pPr>
        <w:pBdr>
          <w:bottom w:val="single" w:sz="12" w:space="1" w:color="auto"/>
        </w:pBdr>
        <w:ind w:left="1440" w:hanging="1440"/>
        <w:rPr>
          <w:rFonts w:ascii="Calibri Light" w:hAnsi="Calibri Light"/>
          <w:b/>
          <w:sz w:val="18"/>
          <w:szCs w:val="18"/>
        </w:rPr>
      </w:pPr>
      <w:r>
        <w:rPr>
          <w:rFonts w:ascii="Calibri Light" w:hAnsi="Calibri Light"/>
          <w:b/>
          <w:sz w:val="18"/>
          <w:szCs w:val="18"/>
        </w:rPr>
        <w:t>DATE:</w:t>
      </w:r>
      <w:r>
        <w:rPr>
          <w:rFonts w:ascii="Calibri Light" w:hAnsi="Calibri Light"/>
          <w:b/>
          <w:sz w:val="18"/>
          <w:szCs w:val="18"/>
        </w:rPr>
        <w:tab/>
        <w:t>SUMMARY OF FINAL RULE:</w:t>
      </w:r>
    </w:p>
    <w:p w:rsidR="008F4BEF" w:rsidRDefault="008F4BEF" w:rsidP="008F4BEF">
      <w:pPr>
        <w:spacing w:before="100" w:beforeAutospacing="1" w:after="100" w:afterAutospacing="1"/>
        <w:ind w:left="1440" w:hanging="1440"/>
        <w:rPr>
          <w:rFonts w:ascii="Calibri Light" w:hAnsi="Calibri Light"/>
          <w:sz w:val="18"/>
          <w:szCs w:val="18"/>
        </w:rPr>
      </w:pPr>
      <w:r w:rsidRPr="00A556E2">
        <w:rPr>
          <w:rFonts w:ascii="Calibri Light" w:hAnsi="Calibri Light"/>
          <w:sz w:val="18"/>
          <w:szCs w:val="18"/>
        </w:rPr>
        <w:t>08.01.2015</w:t>
      </w:r>
      <w:r w:rsidRPr="00A556E2">
        <w:rPr>
          <w:rFonts w:ascii="Calibri Light" w:hAnsi="Calibri Light"/>
          <w:sz w:val="18"/>
          <w:szCs w:val="18"/>
        </w:rPr>
        <w:tab/>
      </w:r>
      <w:r w:rsidRPr="002B6D28">
        <w:rPr>
          <w:rFonts w:ascii="Georgia" w:hAnsi="Georgia"/>
          <w:i/>
          <w:noProof/>
          <w:color w:val="002060"/>
          <w:sz w:val="20"/>
          <w:szCs w:val="20"/>
        </w:rPr>
        <w:drawing>
          <wp:inline distT="0" distB="0" distL="0" distR="0" wp14:anchorId="6034719E" wp14:editId="56F7ACD0">
            <wp:extent cx="275590" cy="220980"/>
            <wp:effectExtent l="0" t="0" r="0" b="762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hyperlink r:id="rId72" w:tgtFrame="_blank" w:history="1">
        <w:r w:rsidRPr="00A556E2">
          <w:rPr>
            <w:rStyle w:val="Hyperlink"/>
            <w:rFonts w:ascii="Calibri Light" w:hAnsi="Calibri Light"/>
            <w:bCs/>
            <w:sz w:val="18"/>
            <w:szCs w:val="18"/>
          </w:rPr>
          <w:t>CFPB: Final integrated Mortgage Disclosures under the RESPA (Reg. X) and the Truth In Lending Act (Reg. Z)</w:t>
        </w:r>
      </w:hyperlink>
      <w:r w:rsidRPr="00A556E2">
        <w:rPr>
          <w:rStyle w:val="EndnoteReference"/>
          <w:rFonts w:ascii="Calibri Light" w:hAnsi="Calibri Light"/>
          <w:sz w:val="18"/>
          <w:szCs w:val="18"/>
        </w:rPr>
        <w:endnoteReference w:id="39"/>
      </w:r>
      <w:r w:rsidRPr="00A556E2">
        <w:rPr>
          <w:rFonts w:ascii="Calibri Light" w:hAnsi="Calibri Light"/>
          <w:sz w:val="18"/>
          <w:szCs w:val="18"/>
        </w:rPr>
        <w:t xml:space="preserve"> Notice of final rule and official interpretations</w:t>
      </w:r>
      <w:r>
        <w:rPr>
          <w:rFonts w:ascii="Calibri Light" w:hAnsi="Calibri Light"/>
          <w:sz w:val="18"/>
          <w:szCs w:val="18"/>
        </w:rPr>
        <w:t>. The CFPB amended Reg.</w:t>
      </w:r>
      <w:r w:rsidRPr="00122BDA">
        <w:rPr>
          <w:rFonts w:ascii="Calibri Light" w:hAnsi="Calibri Light"/>
          <w:sz w:val="18"/>
          <w:szCs w:val="18"/>
        </w:rPr>
        <w:t xml:space="preserve"> X </w:t>
      </w:r>
      <w:r>
        <w:rPr>
          <w:rFonts w:ascii="Calibri Light" w:hAnsi="Calibri Light"/>
          <w:sz w:val="18"/>
          <w:szCs w:val="18"/>
        </w:rPr>
        <w:t>and Reg. Z</w:t>
      </w:r>
      <w:r w:rsidRPr="00122BDA">
        <w:rPr>
          <w:rFonts w:ascii="Calibri Light" w:hAnsi="Calibri Light"/>
          <w:sz w:val="18"/>
          <w:szCs w:val="18"/>
        </w:rPr>
        <w:t xml:space="preserve"> to establish new disclosure requirements and forms in Regulation Z for most closed-end consumer credit transactions secured by real property. In addition to combining the existing disclosure requirements and implementing new requirements imposed by the Dodd-Frank Act, the final rule provides extensive guidance regarding compliance with those requirements.</w:t>
      </w:r>
      <w:r w:rsidRPr="00A556E2">
        <w:rPr>
          <w:rFonts w:ascii="Calibri Light" w:hAnsi="Calibri Light"/>
          <w:sz w:val="18"/>
          <w:szCs w:val="18"/>
        </w:rPr>
        <w:t xml:space="preserve"> </w:t>
      </w:r>
      <w:hyperlink r:id="rId73" w:history="1">
        <w:r w:rsidRPr="00A556E2">
          <w:rPr>
            <w:rStyle w:val="Hyperlink"/>
            <w:rFonts w:ascii="Calibri Light" w:hAnsi="Calibri Light"/>
            <w:sz w:val="18"/>
            <w:szCs w:val="18"/>
          </w:rPr>
          <w:t>CFPB blog on the disclosure</w:t>
        </w:r>
      </w:hyperlink>
      <w:r w:rsidRPr="00A556E2">
        <w:rPr>
          <w:rFonts w:ascii="Calibri Light" w:hAnsi="Calibri Light"/>
          <w:sz w:val="18"/>
          <w:szCs w:val="18"/>
        </w:rPr>
        <w:t>.</w:t>
      </w:r>
    </w:p>
    <w:p w:rsidR="008F4BEF" w:rsidRPr="00A556E2" w:rsidRDefault="008F4BEF" w:rsidP="008F4BEF">
      <w:pPr>
        <w:spacing w:before="100" w:beforeAutospacing="1" w:after="100" w:afterAutospacing="1"/>
        <w:ind w:left="1440" w:hanging="1440"/>
        <w:rPr>
          <w:rFonts w:ascii="Calibri Light" w:hAnsi="Calibri Light"/>
          <w:sz w:val="18"/>
          <w:szCs w:val="18"/>
        </w:rPr>
      </w:pPr>
      <w:r>
        <w:rPr>
          <w:rFonts w:ascii="Calibri Light" w:hAnsi="Calibri Light"/>
          <w:sz w:val="18"/>
          <w:szCs w:val="18"/>
        </w:rPr>
        <w:t>08.</w:t>
      </w:r>
      <w:r w:rsidRPr="00271F03">
        <w:rPr>
          <w:rFonts w:ascii="Calibri Light" w:hAnsi="Calibri Light"/>
          <w:sz w:val="18"/>
          <w:szCs w:val="18"/>
        </w:rPr>
        <w:t>01.2015</w:t>
      </w:r>
      <w:r w:rsidRPr="00271F03">
        <w:rPr>
          <w:rFonts w:ascii="Calibri Light" w:hAnsi="Calibri Light"/>
          <w:sz w:val="18"/>
          <w:szCs w:val="18"/>
        </w:rPr>
        <w:tab/>
      </w:r>
      <w:r w:rsidRPr="002B6D28">
        <w:rPr>
          <w:rFonts w:ascii="Georgia" w:hAnsi="Georgia"/>
          <w:i/>
          <w:noProof/>
          <w:color w:val="002060"/>
          <w:sz w:val="20"/>
          <w:szCs w:val="20"/>
        </w:rPr>
        <w:drawing>
          <wp:inline distT="0" distB="0" distL="0" distR="0" wp14:anchorId="76AD8F69" wp14:editId="7B63A5E7">
            <wp:extent cx="275590" cy="220980"/>
            <wp:effectExtent l="0" t="0" r="0" b="762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hyperlink r:id="rId74" w:tgtFrame="_blank" w:history="1">
        <w:r>
          <w:rPr>
            <w:rStyle w:val="Hyperlink"/>
            <w:rFonts w:ascii="Calibri Light" w:hAnsi="Calibri Light"/>
            <w:bCs/>
            <w:sz w:val="18"/>
            <w:szCs w:val="18"/>
          </w:rPr>
          <w:t>CFPB: Amendments to the 2013 Integrated Mortgage Disclosures Rule under Reg. X and Reg. Z and the Loan Originator Rule under Reg. Z</w:t>
        </w:r>
      </w:hyperlink>
      <w:r w:rsidRPr="00271F03">
        <w:rPr>
          <w:rStyle w:val="EndnoteReference"/>
          <w:rFonts w:ascii="Calibri Light" w:hAnsi="Calibri Light"/>
          <w:sz w:val="18"/>
          <w:szCs w:val="18"/>
        </w:rPr>
        <w:endnoteReference w:id="40"/>
      </w:r>
      <w:r w:rsidRPr="00271F03">
        <w:rPr>
          <w:rFonts w:ascii="Calibri Light" w:hAnsi="Calibri Light"/>
          <w:sz w:val="18"/>
          <w:szCs w:val="18"/>
        </w:rPr>
        <w:t xml:space="preserve"> </w:t>
      </w:r>
      <w:r w:rsidRPr="00074829">
        <w:rPr>
          <w:color w:val="002060"/>
          <w:sz w:val="18"/>
          <w:szCs w:val="18"/>
        </w:rPr>
        <w:t>(</w:t>
      </w:r>
      <w:hyperlink r:id="rId75" w:history="1">
        <w:r w:rsidRPr="00074829">
          <w:rPr>
            <w:rStyle w:val="Hyperlink"/>
            <w:rFonts w:cs="Arial"/>
            <w:sz w:val="18"/>
            <w:szCs w:val="18"/>
          </w:rPr>
          <w:t>80 FR 8767</w:t>
        </w:r>
      </w:hyperlink>
      <w:r w:rsidRPr="00074829">
        <w:rPr>
          <w:rStyle w:val="EndnoteReference"/>
          <w:color w:val="002060"/>
          <w:sz w:val="18"/>
          <w:szCs w:val="18"/>
        </w:rPr>
        <w:endnoteReference w:id="41"/>
      </w:r>
      <w:r w:rsidRPr="00074829">
        <w:rPr>
          <w:color w:val="002060"/>
          <w:sz w:val="18"/>
          <w:szCs w:val="18"/>
        </w:rPr>
        <w:t>)</w:t>
      </w:r>
      <w:r>
        <w:rPr>
          <w:b/>
          <w:i/>
          <w:color w:val="002060"/>
        </w:rPr>
        <w:t xml:space="preserve"> </w:t>
      </w:r>
      <w:r w:rsidRPr="00271F03">
        <w:rPr>
          <w:rFonts w:ascii="Calibri Light" w:hAnsi="Calibri Light"/>
          <w:sz w:val="18"/>
          <w:szCs w:val="18"/>
        </w:rPr>
        <w:t>Notice of final rule and official interpretations.</w:t>
      </w:r>
      <w:r>
        <w:rPr>
          <w:rFonts w:ascii="Calibri Light" w:hAnsi="Calibri Light"/>
          <w:sz w:val="18"/>
          <w:szCs w:val="18"/>
        </w:rPr>
        <w:t xml:space="preserve"> </w:t>
      </w:r>
      <w:r w:rsidRPr="00122BDA">
        <w:rPr>
          <w:rFonts w:ascii="Calibri Light" w:hAnsi="Calibri Light"/>
          <w:sz w:val="18"/>
          <w:szCs w:val="18"/>
        </w:rPr>
        <w:t>This rule</w:t>
      </w:r>
      <w:r>
        <w:rPr>
          <w:rFonts w:ascii="Calibri Light" w:hAnsi="Calibri Light"/>
          <w:sz w:val="18"/>
          <w:szCs w:val="18"/>
        </w:rPr>
        <w:t xml:space="preserve"> amending the integrated mortgage rule</w:t>
      </w:r>
      <w:r w:rsidRPr="00122BDA">
        <w:rPr>
          <w:rFonts w:ascii="Calibri Light" w:hAnsi="Calibri Light"/>
          <w:sz w:val="18"/>
          <w:szCs w:val="18"/>
        </w:rPr>
        <w:t xml:space="preserve"> extends the</w:t>
      </w:r>
      <w:r>
        <w:rPr>
          <w:rFonts w:ascii="Calibri Light" w:hAnsi="Calibri Light"/>
          <w:sz w:val="18"/>
          <w:szCs w:val="18"/>
        </w:rPr>
        <w:t xml:space="preserve"> </w:t>
      </w:r>
      <w:r w:rsidRPr="00122BDA">
        <w:rPr>
          <w:rFonts w:ascii="Calibri Light" w:hAnsi="Calibri Light"/>
          <w:sz w:val="18"/>
          <w:szCs w:val="18"/>
        </w:rPr>
        <w:t>timing requirement for revised disclosures when consumers lock a rate or extend a rate lock after</w:t>
      </w:r>
      <w:r>
        <w:rPr>
          <w:rFonts w:ascii="Calibri Light" w:hAnsi="Calibri Light"/>
          <w:sz w:val="18"/>
          <w:szCs w:val="18"/>
        </w:rPr>
        <w:t xml:space="preserve"> </w:t>
      </w:r>
      <w:r w:rsidRPr="00122BDA">
        <w:rPr>
          <w:rFonts w:ascii="Calibri Light" w:hAnsi="Calibri Light"/>
          <w:sz w:val="18"/>
          <w:szCs w:val="18"/>
        </w:rPr>
        <w:t>the Loan Estimate is provided and permits certain language related to construction loans for</w:t>
      </w:r>
      <w:r>
        <w:rPr>
          <w:rFonts w:ascii="Calibri Light" w:hAnsi="Calibri Light"/>
          <w:sz w:val="18"/>
          <w:szCs w:val="18"/>
        </w:rPr>
        <w:t xml:space="preserve"> </w:t>
      </w:r>
      <w:r w:rsidRPr="00122BDA">
        <w:rPr>
          <w:rFonts w:ascii="Calibri Light" w:hAnsi="Calibri Light"/>
          <w:sz w:val="18"/>
          <w:szCs w:val="18"/>
        </w:rPr>
        <w:t>transactions involving new construction on the Loan Estimate. This rule also amends the 2013</w:t>
      </w:r>
      <w:r>
        <w:rPr>
          <w:rFonts w:ascii="Calibri Light" w:hAnsi="Calibri Light"/>
          <w:sz w:val="18"/>
          <w:szCs w:val="18"/>
        </w:rPr>
        <w:t xml:space="preserve"> </w:t>
      </w:r>
      <w:r w:rsidRPr="00122BDA">
        <w:rPr>
          <w:rFonts w:ascii="Calibri Light" w:hAnsi="Calibri Light"/>
          <w:sz w:val="18"/>
          <w:szCs w:val="18"/>
        </w:rPr>
        <w:t xml:space="preserve">Loan Originator Final Rule to provide for placement of the </w:t>
      </w:r>
      <w:r>
        <w:rPr>
          <w:rFonts w:ascii="Calibri Light" w:hAnsi="Calibri Light"/>
          <w:sz w:val="18"/>
          <w:szCs w:val="18"/>
        </w:rPr>
        <w:t>NMLSR ID</w:t>
      </w:r>
      <w:r w:rsidRPr="00122BDA">
        <w:rPr>
          <w:rFonts w:ascii="Calibri Light" w:hAnsi="Calibri Light"/>
          <w:sz w:val="18"/>
          <w:szCs w:val="18"/>
        </w:rPr>
        <w:t xml:space="preserve"> on the integrated discl</w:t>
      </w:r>
      <w:r>
        <w:rPr>
          <w:rFonts w:ascii="Calibri Light" w:hAnsi="Calibri Light"/>
          <w:sz w:val="18"/>
          <w:szCs w:val="18"/>
        </w:rPr>
        <w:t>osures. Additionally, the CFPB made</w:t>
      </w:r>
      <w:r w:rsidRPr="00122BDA">
        <w:rPr>
          <w:rFonts w:ascii="Calibri Light" w:hAnsi="Calibri Light"/>
          <w:sz w:val="18"/>
          <w:szCs w:val="18"/>
        </w:rPr>
        <w:t xml:space="preserve"> non-substantive corrections, including citation and cross-reference updates and wording</w:t>
      </w:r>
      <w:r>
        <w:rPr>
          <w:rFonts w:ascii="Calibri Light" w:hAnsi="Calibri Light"/>
          <w:sz w:val="18"/>
          <w:szCs w:val="18"/>
        </w:rPr>
        <w:t xml:space="preserve"> </w:t>
      </w:r>
      <w:r w:rsidRPr="00122BDA">
        <w:rPr>
          <w:rFonts w:ascii="Calibri Light" w:hAnsi="Calibri Light"/>
          <w:sz w:val="18"/>
          <w:szCs w:val="18"/>
        </w:rPr>
        <w:t>changes for clarification purposes, to various provisions of Regulations X and Z as amended or</w:t>
      </w:r>
      <w:r>
        <w:rPr>
          <w:rFonts w:ascii="Calibri Light" w:hAnsi="Calibri Light"/>
          <w:sz w:val="18"/>
          <w:szCs w:val="18"/>
        </w:rPr>
        <w:t xml:space="preserve"> </w:t>
      </w:r>
      <w:r w:rsidRPr="00122BDA">
        <w:rPr>
          <w:rFonts w:ascii="Calibri Light" w:hAnsi="Calibri Light"/>
          <w:sz w:val="18"/>
          <w:szCs w:val="18"/>
        </w:rPr>
        <w:t>adopted by the 2013 TILA-RESPA Final Rule</w:t>
      </w:r>
      <w:r>
        <w:rPr>
          <w:rFonts w:ascii="Calibri Light" w:hAnsi="Calibri Light"/>
          <w:sz w:val="18"/>
          <w:szCs w:val="18"/>
        </w:rPr>
        <w:t>.</w:t>
      </w:r>
      <w:r w:rsidRPr="00271F03">
        <w:rPr>
          <w:rFonts w:ascii="Calibri Light" w:hAnsi="Calibri Light"/>
          <w:sz w:val="18"/>
          <w:szCs w:val="18"/>
        </w:rPr>
        <w:t xml:space="preserve"> </w:t>
      </w:r>
      <w:hyperlink r:id="rId76" w:history="1">
        <w:r w:rsidRPr="00271F03">
          <w:rPr>
            <w:rStyle w:val="Hyperlink"/>
            <w:rFonts w:ascii="Calibri Light" w:hAnsi="Calibri Light"/>
            <w:sz w:val="18"/>
            <w:szCs w:val="18"/>
          </w:rPr>
          <w:t>CFPB blog on the disclosure</w:t>
        </w:r>
      </w:hyperlink>
    </w:p>
    <w:p w:rsidR="008F4BEF" w:rsidRPr="0036757F" w:rsidRDefault="008F4BEF" w:rsidP="008F4BEF">
      <w:pPr>
        <w:pStyle w:val="CCTOCHeading"/>
      </w:pPr>
      <w:bookmarkStart w:id="12" w:name="_Toc409519103"/>
      <w:r w:rsidRPr="00AD43F2">
        <w:t xml:space="preserve">Selected </w:t>
      </w:r>
      <w:r>
        <w:t>federal</w:t>
      </w:r>
      <w:r w:rsidRPr="00AD43F2">
        <w:t xml:space="preserve"> rule</w:t>
      </w:r>
      <w:r>
        <w:t>s – past effective</w:t>
      </w:r>
      <w:r w:rsidRPr="00AD43F2">
        <w:t xml:space="preserve"> dates</w:t>
      </w:r>
      <w:bookmarkEnd w:id="12"/>
    </w:p>
    <w:p w:rsidR="008F4BEF" w:rsidRDefault="008F4BEF" w:rsidP="008F4BEF">
      <w:pPr>
        <w:rPr>
          <w:rFonts w:ascii="Calibri Light" w:hAnsi="Calibri Light"/>
          <w:b/>
          <w:i/>
          <w:color w:val="03653F"/>
          <w:sz w:val="20"/>
          <w:szCs w:val="20"/>
        </w:rPr>
      </w:pPr>
      <w:r>
        <w:rPr>
          <w:rFonts w:ascii="Calibri Light" w:hAnsi="Calibri Light"/>
          <w:b/>
          <w:i/>
          <w:color w:val="03653F"/>
          <w:sz w:val="20"/>
          <w:szCs w:val="20"/>
        </w:rPr>
        <w:t xml:space="preserve">Our list of </w:t>
      </w:r>
      <w:r w:rsidRPr="00E11282">
        <w:rPr>
          <w:rFonts w:ascii="Calibri Light" w:hAnsi="Calibri Light"/>
          <w:b/>
          <w:i/>
          <w:color w:val="03653F"/>
          <w:sz w:val="20"/>
          <w:szCs w:val="20"/>
        </w:rPr>
        <w:t xml:space="preserve">effective dates </w:t>
      </w:r>
      <w:r>
        <w:rPr>
          <w:rFonts w:ascii="Calibri Light" w:hAnsi="Calibri Light"/>
          <w:b/>
          <w:i/>
          <w:color w:val="03653F"/>
          <w:sz w:val="20"/>
          <w:szCs w:val="20"/>
        </w:rPr>
        <w:t xml:space="preserve">of past final federal rules </w:t>
      </w:r>
      <w:r w:rsidRPr="00E11282">
        <w:rPr>
          <w:rFonts w:ascii="Calibri Light" w:hAnsi="Calibri Light"/>
          <w:b/>
          <w:i/>
          <w:color w:val="03653F"/>
          <w:sz w:val="20"/>
          <w:szCs w:val="20"/>
        </w:rPr>
        <w:t>is limited to</w:t>
      </w:r>
      <w:r>
        <w:rPr>
          <w:rFonts w:ascii="Calibri Light" w:hAnsi="Calibri Light"/>
          <w:b/>
          <w:i/>
          <w:color w:val="03653F"/>
          <w:sz w:val="20"/>
          <w:szCs w:val="20"/>
        </w:rPr>
        <w:t xml:space="preserve"> approximately </w:t>
      </w:r>
      <w:r w:rsidRPr="00E11282">
        <w:rPr>
          <w:rFonts w:ascii="Calibri Light" w:hAnsi="Calibri Light"/>
          <w:b/>
          <w:i/>
          <w:color w:val="03653F"/>
          <w:sz w:val="20"/>
          <w:szCs w:val="20"/>
        </w:rPr>
        <w:t>12 months.</w:t>
      </w:r>
    </w:p>
    <w:p w:rsidR="008F4BEF" w:rsidRDefault="008F4BEF" w:rsidP="008F4BEF">
      <w:pPr>
        <w:rPr>
          <w:rFonts w:ascii="Calibri Light" w:hAnsi="Calibri Light"/>
          <w:b/>
          <w:i/>
          <w:color w:val="03653F"/>
          <w:sz w:val="20"/>
          <w:szCs w:val="20"/>
        </w:rPr>
      </w:pPr>
    </w:p>
    <w:p w:rsidR="008F4BEF" w:rsidRDefault="008F4BEF" w:rsidP="008F4BEF">
      <w:pPr>
        <w:pBdr>
          <w:bottom w:val="single" w:sz="12" w:space="1" w:color="auto"/>
        </w:pBdr>
        <w:ind w:left="1440" w:hanging="1440"/>
        <w:rPr>
          <w:rFonts w:ascii="Calibri Light" w:hAnsi="Calibri Light"/>
          <w:b/>
          <w:sz w:val="18"/>
          <w:szCs w:val="18"/>
        </w:rPr>
      </w:pPr>
      <w:r>
        <w:rPr>
          <w:rFonts w:ascii="Calibri Light" w:hAnsi="Calibri Light"/>
          <w:b/>
          <w:sz w:val="18"/>
          <w:szCs w:val="18"/>
        </w:rPr>
        <w:t xml:space="preserve">EFFECTIVE </w:t>
      </w:r>
    </w:p>
    <w:p w:rsidR="008F4BEF" w:rsidRDefault="008F4BEF" w:rsidP="008F4BEF">
      <w:pPr>
        <w:pBdr>
          <w:bottom w:val="single" w:sz="12" w:space="1" w:color="auto"/>
        </w:pBdr>
        <w:ind w:left="1440" w:hanging="1440"/>
        <w:rPr>
          <w:rFonts w:ascii="Calibri Light" w:hAnsi="Calibri Light"/>
          <w:b/>
          <w:sz w:val="18"/>
          <w:szCs w:val="18"/>
        </w:rPr>
      </w:pPr>
      <w:r>
        <w:rPr>
          <w:rFonts w:ascii="Calibri Light" w:hAnsi="Calibri Light"/>
          <w:b/>
          <w:sz w:val="18"/>
          <w:szCs w:val="18"/>
        </w:rPr>
        <w:t>DATE:</w:t>
      </w:r>
      <w:r>
        <w:rPr>
          <w:rFonts w:ascii="Calibri Light" w:hAnsi="Calibri Light"/>
          <w:b/>
          <w:sz w:val="18"/>
          <w:szCs w:val="18"/>
        </w:rPr>
        <w:tab/>
        <w:t>SUMMARY OF FINAL RULE:</w:t>
      </w:r>
    </w:p>
    <w:p w:rsidR="008F4BEF" w:rsidRDefault="008F4BEF" w:rsidP="008F4BEF">
      <w:pPr>
        <w:ind w:left="1440" w:hanging="1440"/>
        <w:rPr>
          <w:rFonts w:ascii="Calibri Light" w:hAnsi="Calibri Light" w:cs="Arial"/>
          <w:sz w:val="18"/>
          <w:szCs w:val="18"/>
        </w:rPr>
      </w:pPr>
    </w:p>
    <w:p w:rsidR="008F4BEF" w:rsidRPr="007203B5" w:rsidRDefault="008F4BEF" w:rsidP="008F4BEF">
      <w:pPr>
        <w:spacing w:before="100" w:beforeAutospacing="1" w:after="100" w:afterAutospacing="1"/>
        <w:ind w:left="1440" w:hanging="1530"/>
        <w:rPr>
          <w:rFonts w:ascii="Calibri Light" w:hAnsi="Calibri Light"/>
          <w:sz w:val="18"/>
          <w:szCs w:val="18"/>
        </w:rPr>
      </w:pPr>
      <w:r>
        <w:rPr>
          <w:rFonts w:ascii="Calibri Light" w:hAnsi="Calibri Light"/>
          <w:sz w:val="18"/>
          <w:szCs w:val="18"/>
        </w:rPr>
        <w:t>05.01.2015</w:t>
      </w:r>
      <w:r>
        <w:rPr>
          <w:rFonts w:ascii="Calibri Light" w:hAnsi="Calibri Light"/>
          <w:sz w:val="18"/>
          <w:szCs w:val="18"/>
        </w:rPr>
        <w:tab/>
        <w:t xml:space="preserve">The Board adopted </w:t>
      </w:r>
      <w:hyperlink r:id="rId77" w:history="1">
        <w:r w:rsidRPr="00FE4100">
          <w:rPr>
            <w:rStyle w:val="Hyperlink"/>
            <w:rFonts w:ascii="Calibri Light" w:hAnsi="Calibri Light"/>
            <w:sz w:val="18"/>
            <w:szCs w:val="18"/>
          </w:rPr>
          <w:t>final amendments</w:t>
        </w:r>
      </w:hyperlink>
      <w:r>
        <w:rPr>
          <w:rStyle w:val="EndnoteReference"/>
          <w:rFonts w:ascii="Calibri Light" w:hAnsi="Calibri Light"/>
          <w:sz w:val="18"/>
          <w:szCs w:val="18"/>
        </w:rPr>
        <w:endnoteReference w:id="42"/>
      </w:r>
      <w:r w:rsidRPr="007203B5">
        <w:rPr>
          <w:rFonts w:ascii="Calibri Light" w:hAnsi="Calibri Light"/>
          <w:sz w:val="18"/>
          <w:szCs w:val="18"/>
        </w:rPr>
        <w:t xml:space="preserve"> to the Small Bank Holding</w:t>
      </w:r>
      <w:r>
        <w:rPr>
          <w:rFonts w:ascii="Calibri Light" w:hAnsi="Calibri Light"/>
          <w:sz w:val="18"/>
          <w:szCs w:val="18"/>
        </w:rPr>
        <w:t xml:space="preserve"> </w:t>
      </w:r>
      <w:r w:rsidRPr="007203B5">
        <w:rPr>
          <w:rFonts w:ascii="Calibri Light" w:hAnsi="Calibri Light"/>
          <w:sz w:val="18"/>
          <w:szCs w:val="18"/>
        </w:rPr>
        <w:t>Company Policy Statement (Regulation Y, Appendix C) (Policy Statement) that: (i) raise from</w:t>
      </w:r>
      <w:r>
        <w:rPr>
          <w:rFonts w:ascii="Calibri Light" w:hAnsi="Calibri Light"/>
          <w:sz w:val="18"/>
          <w:szCs w:val="18"/>
        </w:rPr>
        <w:t xml:space="preserve"> </w:t>
      </w:r>
      <w:r w:rsidRPr="007203B5">
        <w:rPr>
          <w:rFonts w:ascii="Calibri Light" w:hAnsi="Calibri Light"/>
          <w:sz w:val="18"/>
          <w:szCs w:val="18"/>
        </w:rPr>
        <w:t>$500 million to $1 billion the asset threshold to qualify for the Policy Statement; an</w:t>
      </w:r>
      <w:r>
        <w:rPr>
          <w:rFonts w:ascii="Calibri Light" w:hAnsi="Calibri Light"/>
          <w:sz w:val="18"/>
          <w:szCs w:val="18"/>
        </w:rPr>
        <w:t xml:space="preserve">d (ii) expand </w:t>
      </w:r>
      <w:r w:rsidRPr="007203B5">
        <w:rPr>
          <w:rFonts w:ascii="Calibri Light" w:hAnsi="Calibri Light"/>
          <w:sz w:val="18"/>
          <w:szCs w:val="18"/>
        </w:rPr>
        <w:t>the scope of companies eligible under the Policy Statement to i</w:t>
      </w:r>
      <w:r>
        <w:rPr>
          <w:rFonts w:ascii="Calibri Light" w:hAnsi="Calibri Light"/>
          <w:sz w:val="18"/>
          <w:szCs w:val="18"/>
        </w:rPr>
        <w:t xml:space="preserve">nclude savings and loan holding </w:t>
      </w:r>
      <w:r w:rsidRPr="007203B5">
        <w:rPr>
          <w:rFonts w:ascii="Calibri Light" w:hAnsi="Calibri Light"/>
          <w:sz w:val="18"/>
          <w:szCs w:val="18"/>
        </w:rPr>
        <w:t>companies. The Board is also adopting final conformin</w:t>
      </w:r>
      <w:r>
        <w:rPr>
          <w:rFonts w:ascii="Calibri Light" w:hAnsi="Calibri Light"/>
          <w:sz w:val="18"/>
          <w:szCs w:val="18"/>
        </w:rPr>
        <w:t xml:space="preserve">g revisions to Regulation Y and </w:t>
      </w:r>
      <w:r w:rsidRPr="007203B5">
        <w:rPr>
          <w:rFonts w:ascii="Calibri Light" w:hAnsi="Calibri Light"/>
          <w:sz w:val="18"/>
          <w:szCs w:val="18"/>
        </w:rPr>
        <w:t>Regulation LL, the Board’s regulations governing the operations</w:t>
      </w:r>
      <w:r>
        <w:rPr>
          <w:rFonts w:ascii="Calibri Light" w:hAnsi="Calibri Light"/>
          <w:sz w:val="18"/>
          <w:szCs w:val="18"/>
        </w:rPr>
        <w:t xml:space="preserve"> and activities of bank holding </w:t>
      </w:r>
      <w:r w:rsidRPr="007203B5">
        <w:rPr>
          <w:rFonts w:ascii="Calibri Light" w:hAnsi="Calibri Light"/>
          <w:sz w:val="18"/>
          <w:szCs w:val="18"/>
        </w:rPr>
        <w:t>companies and savings and loan holding companies, respectively</w:t>
      </w:r>
      <w:r>
        <w:rPr>
          <w:rFonts w:ascii="Calibri Light" w:hAnsi="Calibri Light"/>
          <w:sz w:val="18"/>
          <w:szCs w:val="18"/>
        </w:rPr>
        <w:t xml:space="preserve">, and Regulation Q, the Board’s </w:t>
      </w:r>
      <w:r w:rsidRPr="007203B5">
        <w:rPr>
          <w:rFonts w:ascii="Calibri Light" w:hAnsi="Calibri Light"/>
          <w:sz w:val="18"/>
          <w:szCs w:val="18"/>
        </w:rPr>
        <w:t>regulatory capital rules. Specifically, the Proposed Rule</w:t>
      </w:r>
      <w:r>
        <w:rPr>
          <w:rFonts w:ascii="Calibri Light" w:hAnsi="Calibri Light"/>
          <w:sz w:val="18"/>
          <w:szCs w:val="18"/>
        </w:rPr>
        <w:t xml:space="preserve"> </w:t>
      </w:r>
      <w:r w:rsidRPr="007203B5">
        <w:rPr>
          <w:rFonts w:ascii="Calibri Light" w:hAnsi="Calibri Light"/>
          <w:sz w:val="18"/>
          <w:szCs w:val="18"/>
        </w:rPr>
        <w:t>would allow bank holding companies and savings and loan holding companies with less than $1</w:t>
      </w:r>
      <w:r>
        <w:rPr>
          <w:rFonts w:ascii="Calibri Light" w:hAnsi="Calibri Light"/>
          <w:sz w:val="18"/>
          <w:szCs w:val="18"/>
        </w:rPr>
        <w:t xml:space="preserve"> </w:t>
      </w:r>
      <w:r w:rsidRPr="007203B5">
        <w:rPr>
          <w:rFonts w:ascii="Calibri Light" w:hAnsi="Calibri Light"/>
          <w:sz w:val="18"/>
          <w:szCs w:val="18"/>
        </w:rPr>
        <w:t xml:space="preserve">billion in total consolidated assets to qualify under the Policy </w:t>
      </w:r>
      <w:r>
        <w:rPr>
          <w:rFonts w:ascii="Calibri Light" w:hAnsi="Calibri Light"/>
          <w:sz w:val="18"/>
          <w:szCs w:val="18"/>
        </w:rPr>
        <w:t xml:space="preserve">Statement, provided the holding </w:t>
      </w:r>
      <w:r w:rsidRPr="007203B5">
        <w:rPr>
          <w:rFonts w:ascii="Calibri Light" w:hAnsi="Calibri Light"/>
          <w:sz w:val="18"/>
          <w:szCs w:val="18"/>
        </w:rPr>
        <w:t>companies also comply with three qualitative requireme</w:t>
      </w:r>
      <w:r>
        <w:rPr>
          <w:rFonts w:ascii="Calibri Light" w:hAnsi="Calibri Light"/>
          <w:sz w:val="18"/>
          <w:szCs w:val="18"/>
        </w:rPr>
        <w:t xml:space="preserve">nts (Qualitative Requirements). </w:t>
      </w:r>
      <w:r w:rsidRPr="007203B5">
        <w:rPr>
          <w:rFonts w:ascii="Calibri Light" w:hAnsi="Calibri Light"/>
          <w:sz w:val="18"/>
          <w:szCs w:val="18"/>
        </w:rPr>
        <w:t>Previously, only bank holding companies with less than $500 milli</w:t>
      </w:r>
      <w:r>
        <w:rPr>
          <w:rFonts w:ascii="Calibri Light" w:hAnsi="Calibri Light"/>
          <w:sz w:val="18"/>
          <w:szCs w:val="18"/>
        </w:rPr>
        <w:t xml:space="preserve">on in total consolidated assets </w:t>
      </w:r>
      <w:r w:rsidRPr="007203B5">
        <w:rPr>
          <w:rFonts w:ascii="Calibri Light" w:hAnsi="Calibri Light"/>
          <w:sz w:val="18"/>
          <w:szCs w:val="18"/>
        </w:rPr>
        <w:t>that complied with the Qualitative Requirements could qualify under the Policy Statement</w:t>
      </w:r>
      <w:r>
        <w:rPr>
          <w:rFonts w:ascii="Calibri Light" w:hAnsi="Calibri Light"/>
          <w:sz w:val="18"/>
          <w:szCs w:val="18"/>
        </w:rPr>
        <w:t xml:space="preserve">. </w:t>
      </w:r>
      <w:r w:rsidRPr="00FE4100">
        <w:rPr>
          <w:rFonts w:ascii="Calibri Light" w:hAnsi="Calibri Light"/>
          <w:sz w:val="18"/>
          <w:szCs w:val="18"/>
        </w:rPr>
        <w:t>The Board issued the Policy Statement in 1980 to facilitate the transfer of ownership of</w:t>
      </w:r>
      <w:r>
        <w:rPr>
          <w:rFonts w:ascii="Calibri Light" w:hAnsi="Calibri Light"/>
          <w:sz w:val="18"/>
          <w:szCs w:val="18"/>
        </w:rPr>
        <w:t xml:space="preserve"> </w:t>
      </w:r>
      <w:r w:rsidRPr="00FE4100">
        <w:rPr>
          <w:rFonts w:ascii="Calibri Light" w:hAnsi="Calibri Light"/>
          <w:sz w:val="18"/>
          <w:szCs w:val="18"/>
        </w:rPr>
        <w:t>small community-based banks in a manner consistent with bank safety and soundness.</w:t>
      </w:r>
      <w:r>
        <w:rPr>
          <w:rFonts w:ascii="Calibri Light" w:hAnsi="Calibri Light"/>
          <w:sz w:val="18"/>
          <w:szCs w:val="18"/>
        </w:rPr>
        <w:t xml:space="preserve"> T</w:t>
      </w:r>
      <w:r w:rsidRPr="00FE4100">
        <w:rPr>
          <w:rFonts w:ascii="Calibri Light" w:hAnsi="Calibri Light"/>
          <w:sz w:val="18"/>
          <w:szCs w:val="18"/>
        </w:rPr>
        <w:t xml:space="preserve">he Board </w:t>
      </w:r>
      <w:r>
        <w:rPr>
          <w:rFonts w:ascii="Calibri Light" w:hAnsi="Calibri Light"/>
          <w:sz w:val="18"/>
          <w:szCs w:val="18"/>
        </w:rPr>
        <w:t xml:space="preserve">adopted the Policy Statement to </w:t>
      </w:r>
      <w:r w:rsidRPr="00FE4100">
        <w:rPr>
          <w:rFonts w:ascii="Calibri Light" w:hAnsi="Calibri Light"/>
          <w:sz w:val="18"/>
          <w:szCs w:val="18"/>
        </w:rPr>
        <w:t>permit the formation and expansion of small bank holding comp</w:t>
      </w:r>
      <w:r>
        <w:rPr>
          <w:rFonts w:ascii="Calibri Light" w:hAnsi="Calibri Light"/>
          <w:sz w:val="18"/>
          <w:szCs w:val="18"/>
        </w:rPr>
        <w:t xml:space="preserve">anies with debt levels that are </w:t>
      </w:r>
      <w:r w:rsidRPr="00FE4100">
        <w:rPr>
          <w:rFonts w:ascii="Calibri Light" w:hAnsi="Calibri Light"/>
          <w:sz w:val="18"/>
          <w:szCs w:val="18"/>
        </w:rPr>
        <w:t>higher than typically permitted for larger bank holding companies.</w:t>
      </w:r>
    </w:p>
    <w:p w:rsidR="008F4BEF" w:rsidRDefault="008F4BEF" w:rsidP="008F4BEF">
      <w:pPr>
        <w:spacing w:before="100" w:beforeAutospacing="1" w:after="100" w:afterAutospacing="1"/>
        <w:ind w:left="1440" w:hanging="1440"/>
        <w:rPr>
          <w:rFonts w:ascii="Calibri Light" w:hAnsi="Calibri Light" w:cs="Arial"/>
          <w:sz w:val="18"/>
          <w:szCs w:val="18"/>
        </w:rPr>
      </w:pPr>
      <w:r>
        <w:rPr>
          <w:rFonts w:ascii="Calibri Light" w:hAnsi="Calibri Light"/>
          <w:sz w:val="18"/>
          <w:szCs w:val="18"/>
        </w:rPr>
        <w:t>02.23.2015</w:t>
      </w:r>
      <w:r>
        <w:rPr>
          <w:rFonts w:ascii="Calibri Light" w:hAnsi="Calibri Light"/>
          <w:sz w:val="18"/>
          <w:szCs w:val="18"/>
        </w:rPr>
        <w:tab/>
      </w:r>
      <w:hyperlink r:id="rId78" w:history="1">
        <w:r w:rsidRPr="00C841C6">
          <w:rPr>
            <w:rStyle w:val="Hyperlink"/>
            <w:rFonts w:ascii="Calibri Light" w:hAnsi="Calibri Light"/>
            <w:sz w:val="18"/>
            <w:szCs w:val="18"/>
          </w:rPr>
          <w:t>Credit risk retention.</w:t>
        </w:r>
      </w:hyperlink>
      <w:r>
        <w:rPr>
          <w:rStyle w:val="EndnoteReference"/>
          <w:rFonts w:ascii="Calibri Light" w:hAnsi="Calibri Light"/>
          <w:sz w:val="18"/>
          <w:szCs w:val="18"/>
        </w:rPr>
        <w:endnoteReference w:id="43"/>
      </w:r>
      <w:r>
        <w:rPr>
          <w:rFonts w:ascii="Calibri Light" w:hAnsi="Calibri Light"/>
          <w:sz w:val="18"/>
          <w:szCs w:val="18"/>
        </w:rPr>
        <w:t xml:space="preserve"> </w:t>
      </w:r>
      <w:r w:rsidRPr="00FD75C3">
        <w:rPr>
          <w:rFonts w:ascii="Calibri Light" w:hAnsi="Calibri Light"/>
          <w:sz w:val="18"/>
          <w:szCs w:val="18"/>
        </w:rPr>
        <w:t>The OCC, Board, FDIC, Commissi</w:t>
      </w:r>
      <w:r>
        <w:rPr>
          <w:rFonts w:ascii="Calibri Light" w:hAnsi="Calibri Light"/>
          <w:sz w:val="18"/>
          <w:szCs w:val="18"/>
        </w:rPr>
        <w:t>on, FHFA, and HUD</w:t>
      </w:r>
      <w:r w:rsidRPr="00FD75C3">
        <w:rPr>
          <w:rFonts w:ascii="Calibri Light" w:hAnsi="Calibri Light"/>
          <w:sz w:val="18"/>
          <w:szCs w:val="18"/>
        </w:rPr>
        <w:t xml:space="preserve"> </w:t>
      </w:r>
      <w:r>
        <w:rPr>
          <w:rFonts w:ascii="Calibri Light" w:hAnsi="Calibri Light"/>
          <w:sz w:val="18"/>
          <w:szCs w:val="18"/>
        </w:rPr>
        <w:t>adopted</w:t>
      </w:r>
      <w:r w:rsidRPr="00FD75C3">
        <w:rPr>
          <w:rFonts w:ascii="Calibri Light" w:hAnsi="Calibri Light"/>
          <w:sz w:val="18"/>
          <w:szCs w:val="18"/>
        </w:rPr>
        <w:t xml:space="preserve"> a joint final ru</w:t>
      </w:r>
      <w:r>
        <w:rPr>
          <w:rFonts w:ascii="Calibri Light" w:hAnsi="Calibri Light"/>
          <w:sz w:val="18"/>
          <w:szCs w:val="18"/>
        </w:rPr>
        <w:t>le</w:t>
      </w:r>
      <w:r w:rsidRPr="00FD75C3">
        <w:rPr>
          <w:rFonts w:ascii="Calibri Light" w:hAnsi="Calibri Light"/>
          <w:sz w:val="18"/>
          <w:szCs w:val="18"/>
        </w:rPr>
        <w:t xml:space="preserve"> to implement the credit risk retention requirements of </w:t>
      </w:r>
      <w:r>
        <w:rPr>
          <w:rFonts w:ascii="Calibri Light" w:hAnsi="Calibri Light"/>
          <w:sz w:val="18"/>
          <w:szCs w:val="18"/>
        </w:rPr>
        <w:t>Section 15 of the Securities and Exchange Act of 1934, as added by section 941 of the Dodd-Frank Act</w:t>
      </w:r>
      <w:r w:rsidRPr="00FD75C3">
        <w:rPr>
          <w:rFonts w:ascii="Calibri Light" w:hAnsi="Calibri Light"/>
          <w:sz w:val="18"/>
          <w:szCs w:val="18"/>
        </w:rPr>
        <w:t>. Section 15G generally requires the securitizer of asset-backed securities to retain not less than 5 percent of the credit risk of the assets collateralizing the asset-backed securities. Section 15G includes a variety of exemptions from these requirements, including an exemption for asset-backed securities that are collateralized exclusively by residential mortgages that qualify as “qualified residential mortgages,” as such term is defined by the agencies by rule.</w:t>
      </w:r>
    </w:p>
    <w:p w:rsidR="008F4BEF" w:rsidRDefault="008F4BEF" w:rsidP="008F4BEF">
      <w:pPr>
        <w:ind w:left="1440" w:hanging="1440"/>
        <w:rPr>
          <w:rFonts w:ascii="Calibri Light" w:hAnsi="Calibri Light" w:cs="Arial"/>
          <w:sz w:val="18"/>
          <w:szCs w:val="18"/>
        </w:rPr>
      </w:pPr>
      <w:r w:rsidRPr="00A556E2">
        <w:rPr>
          <w:rFonts w:ascii="Calibri Light" w:hAnsi="Calibri Light" w:cs="Arial"/>
          <w:sz w:val="18"/>
          <w:szCs w:val="18"/>
        </w:rPr>
        <w:t>01.01.2015</w:t>
      </w:r>
      <w:r w:rsidRPr="00A556E2">
        <w:rPr>
          <w:rFonts w:ascii="Calibri Light" w:hAnsi="Calibri Light" w:cs="Arial"/>
          <w:sz w:val="18"/>
          <w:szCs w:val="18"/>
        </w:rPr>
        <w:tab/>
      </w:r>
      <w:hyperlink r:id="rId79" w:anchor="h-4" w:history="1">
        <w:r>
          <w:rPr>
            <w:rStyle w:val="Hyperlink"/>
            <w:rFonts w:ascii="Calibri Light" w:hAnsi="Calibri Light" w:cs="Arial"/>
            <w:sz w:val="18"/>
            <w:szCs w:val="18"/>
          </w:rPr>
          <w:t>Reg. Z annual threshold adjustments (CARD ACT, HOEPA and ATR/QM)</w:t>
        </w:r>
      </w:hyperlink>
      <w:r w:rsidRPr="00A556E2">
        <w:rPr>
          <w:rFonts w:ascii="Calibri Light" w:hAnsi="Calibri Light" w:cs="Arial"/>
          <w:sz w:val="18"/>
          <w:szCs w:val="18"/>
        </w:rPr>
        <w:t>. The CFPB issued a final rule</w:t>
      </w:r>
      <w:r w:rsidRPr="00A556E2">
        <w:rPr>
          <w:rStyle w:val="EndnoteReference"/>
          <w:rFonts w:ascii="Calibri Light" w:hAnsi="Calibri Light"/>
          <w:sz w:val="18"/>
          <w:szCs w:val="18"/>
        </w:rPr>
        <w:endnoteReference w:id="44"/>
      </w:r>
      <w:r w:rsidRPr="00A556E2">
        <w:rPr>
          <w:rFonts w:ascii="Calibri Light" w:hAnsi="Calibri Light" w:cs="Arial"/>
          <w:sz w:val="18"/>
          <w:szCs w:val="18"/>
        </w:rPr>
        <w:t xml:space="preserve"> amending the regulatory text and official interpretations for Regulation Z.  The CFPB must calculate annually the dollar amounts for several provisions in </w:t>
      </w:r>
      <w:r w:rsidRPr="00A556E2">
        <w:rPr>
          <w:rFonts w:ascii="Calibri Light" w:hAnsi="Calibri Light" w:cs="Arial"/>
          <w:sz w:val="18"/>
          <w:szCs w:val="18"/>
        </w:rPr>
        <w:lastRenderedPageBreak/>
        <w:t>Regulation Z. This final rule reviews the dollar amounts for provisions implementing amendments to TILA under the CARD Act, HOEPA, and the Dodd-Frank Act.</w:t>
      </w:r>
    </w:p>
    <w:p w:rsidR="008F4BEF" w:rsidRDefault="008F4BEF" w:rsidP="008F4BEF">
      <w:pPr>
        <w:spacing w:before="100" w:beforeAutospacing="1" w:after="100" w:afterAutospacing="1"/>
        <w:ind w:left="1440" w:hanging="1440"/>
        <w:rPr>
          <w:rFonts w:ascii="Calibri Light" w:hAnsi="Calibri Light"/>
          <w:sz w:val="18"/>
          <w:szCs w:val="18"/>
        </w:rPr>
      </w:pPr>
      <w:r>
        <w:rPr>
          <w:rFonts w:ascii="Calibri Light" w:hAnsi="Calibri Light"/>
          <w:sz w:val="18"/>
          <w:szCs w:val="18"/>
        </w:rPr>
        <w:t>01.01.2015</w:t>
      </w:r>
      <w:r>
        <w:rPr>
          <w:rFonts w:ascii="Calibri Light" w:hAnsi="Calibri Light"/>
          <w:sz w:val="18"/>
          <w:szCs w:val="18"/>
        </w:rPr>
        <w:tab/>
      </w:r>
      <w:hyperlink r:id="rId80" w:history="1">
        <w:r w:rsidRPr="00FD75C3">
          <w:rPr>
            <w:rStyle w:val="Hyperlink"/>
            <w:rFonts w:ascii="Calibri Light" w:hAnsi="Calibri Light"/>
            <w:sz w:val="18"/>
            <w:szCs w:val="18"/>
          </w:rPr>
          <w:t>Reg</w:t>
        </w:r>
        <w:r>
          <w:rPr>
            <w:rStyle w:val="Hyperlink"/>
            <w:rFonts w:ascii="Calibri Light" w:hAnsi="Calibri Light"/>
            <w:sz w:val="18"/>
            <w:szCs w:val="18"/>
          </w:rPr>
          <w:t>.</w:t>
        </w:r>
        <w:r w:rsidRPr="00FD75C3">
          <w:rPr>
            <w:rStyle w:val="Hyperlink"/>
            <w:rFonts w:ascii="Calibri Light" w:hAnsi="Calibri Light"/>
            <w:sz w:val="18"/>
            <w:szCs w:val="18"/>
          </w:rPr>
          <w:t xml:space="preserve"> Z adjustment to asset-size exemption threshold.</w:t>
        </w:r>
      </w:hyperlink>
      <w:r>
        <w:rPr>
          <w:rStyle w:val="EndnoteReference"/>
          <w:rFonts w:ascii="Calibri Light" w:hAnsi="Calibri Light"/>
          <w:sz w:val="18"/>
          <w:szCs w:val="18"/>
        </w:rPr>
        <w:endnoteReference w:id="45"/>
      </w:r>
      <w:r>
        <w:rPr>
          <w:rFonts w:ascii="Calibri Light" w:hAnsi="Calibri Light"/>
          <w:sz w:val="18"/>
          <w:szCs w:val="18"/>
        </w:rPr>
        <w:t xml:space="preserve"> The CFPB amended the</w:t>
      </w:r>
      <w:r w:rsidRPr="00FD75C3">
        <w:rPr>
          <w:rFonts w:ascii="Calibri Light" w:hAnsi="Calibri Light"/>
          <w:sz w:val="18"/>
          <w:szCs w:val="18"/>
        </w:rPr>
        <w:t xml:space="preserve"> official commentary that interprets the requirements of </w:t>
      </w:r>
      <w:r>
        <w:rPr>
          <w:rFonts w:ascii="Calibri Light" w:hAnsi="Calibri Light"/>
          <w:sz w:val="18"/>
          <w:szCs w:val="18"/>
        </w:rPr>
        <w:t>Reg. Z</w:t>
      </w:r>
      <w:r w:rsidRPr="00FD75C3">
        <w:rPr>
          <w:rFonts w:ascii="Calibri Light" w:hAnsi="Calibri Light"/>
          <w:sz w:val="18"/>
          <w:szCs w:val="18"/>
        </w:rPr>
        <w:t xml:space="preserve"> to reflect a change in the asset size threshold for certain creditors to qualify for an exemption to the requirement to establish an escrow account for a </w:t>
      </w:r>
      <w:r>
        <w:rPr>
          <w:rFonts w:ascii="Calibri Light" w:hAnsi="Calibri Light"/>
          <w:sz w:val="18"/>
          <w:szCs w:val="18"/>
        </w:rPr>
        <w:t>HPML</w:t>
      </w:r>
      <w:r w:rsidRPr="00FD75C3">
        <w:rPr>
          <w:rFonts w:ascii="Calibri Light" w:hAnsi="Calibri Light"/>
          <w:sz w:val="18"/>
          <w:szCs w:val="18"/>
        </w:rPr>
        <w:t xml:space="preserve"> based on the annual percentage change in the average of the </w:t>
      </w:r>
      <w:r>
        <w:rPr>
          <w:rFonts w:ascii="Calibri Light" w:hAnsi="Calibri Light"/>
          <w:sz w:val="18"/>
          <w:szCs w:val="18"/>
        </w:rPr>
        <w:t>CPI-W</w:t>
      </w:r>
      <w:r w:rsidRPr="00FD75C3">
        <w:rPr>
          <w:rFonts w:ascii="Calibri Light" w:hAnsi="Calibri Light"/>
          <w:sz w:val="18"/>
          <w:szCs w:val="18"/>
        </w:rPr>
        <w:t xml:space="preserve"> for the 12-month period ending in November. The exemption threshold is adjusted to increase to $2.060 billion from $2.028 billion. Therefore, creditors with assets of $2.060 billion or less as of December 31, 2014, are exempt, if other requirements of Regulation Z also are met, from establishing escrow accounts for higher-priced mortgage loans in 2015. The adjustment to the escrows exemption asset-size threshold will also increase a similar threshold for small-creditor portfolio and balloon-payment qualified mortgages. Balloon-payment qualified mortgages that satisfy all applicable criteria, including being made by creditors that do not exceed the asset-size threshold, are also excepted from the prohibition on balloon payments for high-cost mortgages.</w:t>
      </w:r>
    </w:p>
    <w:p w:rsidR="008F4BEF" w:rsidRDefault="008F4BEF" w:rsidP="008F4BEF">
      <w:pPr>
        <w:spacing w:before="100" w:beforeAutospacing="1" w:after="100" w:afterAutospacing="1"/>
        <w:ind w:left="1440" w:hanging="1440"/>
        <w:rPr>
          <w:rFonts w:ascii="Calibri Light" w:hAnsi="Calibri Light"/>
          <w:sz w:val="18"/>
          <w:szCs w:val="18"/>
        </w:rPr>
      </w:pPr>
      <w:r>
        <w:rPr>
          <w:rFonts w:ascii="Calibri Light" w:hAnsi="Calibri Light"/>
          <w:sz w:val="18"/>
          <w:szCs w:val="18"/>
        </w:rPr>
        <w:t>01.01.2015</w:t>
      </w:r>
      <w:r>
        <w:rPr>
          <w:rFonts w:ascii="Calibri Light" w:hAnsi="Calibri Light"/>
          <w:sz w:val="18"/>
          <w:szCs w:val="18"/>
        </w:rPr>
        <w:tab/>
      </w:r>
      <w:hyperlink r:id="rId81" w:history="1">
        <w:r w:rsidRPr="00FD75C3">
          <w:rPr>
            <w:rStyle w:val="Hyperlink"/>
            <w:rFonts w:ascii="Calibri Light" w:hAnsi="Calibri Light"/>
            <w:sz w:val="18"/>
            <w:szCs w:val="18"/>
          </w:rPr>
          <w:t>HMDA adjustment to asset-size exemption threshold.</w:t>
        </w:r>
      </w:hyperlink>
      <w:r>
        <w:rPr>
          <w:rStyle w:val="EndnoteReference"/>
          <w:rFonts w:ascii="Calibri Light" w:hAnsi="Calibri Light"/>
          <w:sz w:val="18"/>
          <w:szCs w:val="18"/>
        </w:rPr>
        <w:endnoteReference w:id="46"/>
      </w:r>
      <w:r>
        <w:rPr>
          <w:rFonts w:ascii="Calibri Light" w:hAnsi="Calibri Light"/>
          <w:sz w:val="18"/>
          <w:szCs w:val="18"/>
        </w:rPr>
        <w:t xml:space="preserve"> The CFPB issued</w:t>
      </w:r>
      <w:r w:rsidRPr="00FD75C3">
        <w:rPr>
          <w:rFonts w:ascii="Calibri Light" w:hAnsi="Calibri Light"/>
          <w:sz w:val="18"/>
          <w:szCs w:val="18"/>
        </w:rPr>
        <w:t xml:space="preserve"> a final rule amending the official commentary that interprets the requirements of </w:t>
      </w:r>
      <w:r>
        <w:rPr>
          <w:rFonts w:ascii="Calibri Light" w:hAnsi="Calibri Light"/>
          <w:sz w:val="18"/>
          <w:szCs w:val="18"/>
        </w:rPr>
        <w:t xml:space="preserve">HMDA </w:t>
      </w:r>
      <w:r w:rsidRPr="00FD75C3">
        <w:rPr>
          <w:rFonts w:ascii="Calibri Light" w:hAnsi="Calibri Light"/>
          <w:sz w:val="18"/>
          <w:szCs w:val="18"/>
        </w:rPr>
        <w:t>to reflect a change in the asset-size exemption threshold for banks, savings associations, and credit unions based on the annual percentage</w:t>
      </w:r>
      <w:r>
        <w:rPr>
          <w:rFonts w:ascii="Calibri Light" w:hAnsi="Calibri Light"/>
          <w:sz w:val="18"/>
          <w:szCs w:val="18"/>
        </w:rPr>
        <w:t xml:space="preserve"> change in the average of the CPI-W</w:t>
      </w:r>
      <w:r w:rsidRPr="00FD75C3">
        <w:rPr>
          <w:rFonts w:ascii="Calibri Light" w:hAnsi="Calibri Light"/>
          <w:sz w:val="18"/>
          <w:szCs w:val="18"/>
        </w:rPr>
        <w:t>. The exemption threshold is adjusted to increase to $44 million from $43 million. Therefore, banks, savings associations, and credit unions with assets of $44 million or less as of December 31, 2014, are exempt from collecting data in 2015.</w:t>
      </w:r>
    </w:p>
    <w:p w:rsidR="008F4BEF" w:rsidRDefault="008F4BEF" w:rsidP="008F4BEF">
      <w:pPr>
        <w:spacing w:before="100" w:beforeAutospacing="1" w:after="100" w:afterAutospacing="1"/>
        <w:ind w:left="1440" w:hanging="1440"/>
        <w:rPr>
          <w:rFonts w:ascii="Calibri Light" w:hAnsi="Calibri Light"/>
          <w:sz w:val="18"/>
          <w:szCs w:val="18"/>
        </w:rPr>
      </w:pPr>
      <w:r w:rsidRPr="00A556E2">
        <w:rPr>
          <w:rFonts w:ascii="Calibri Light" w:hAnsi="Calibri Light"/>
          <w:sz w:val="18"/>
          <w:szCs w:val="18"/>
        </w:rPr>
        <w:t>01.01.2015</w:t>
      </w:r>
      <w:r w:rsidRPr="00A556E2">
        <w:rPr>
          <w:rFonts w:ascii="Calibri Light" w:hAnsi="Calibri Light"/>
          <w:sz w:val="18"/>
          <w:szCs w:val="18"/>
        </w:rPr>
        <w:tab/>
      </w:r>
      <w:hyperlink r:id="rId82" w:history="1">
        <w:r w:rsidRPr="00A556E2">
          <w:rPr>
            <w:rStyle w:val="Hyperlink"/>
            <w:rFonts w:ascii="Calibri Light" w:hAnsi="Calibri Light"/>
            <w:sz w:val="18"/>
            <w:szCs w:val="18"/>
          </w:rPr>
          <w:t>Basel III</w:t>
        </w:r>
      </w:hyperlink>
      <w:r w:rsidRPr="00A556E2">
        <w:rPr>
          <w:rFonts w:ascii="Calibri Light" w:hAnsi="Calibri Light"/>
          <w:sz w:val="18"/>
          <w:szCs w:val="18"/>
        </w:rPr>
        <w:t>.</w:t>
      </w:r>
      <w:r w:rsidRPr="00A556E2">
        <w:rPr>
          <w:rStyle w:val="EndnoteReference"/>
          <w:rFonts w:ascii="Calibri Light" w:hAnsi="Calibri Light"/>
          <w:sz w:val="18"/>
          <w:szCs w:val="18"/>
        </w:rPr>
        <w:endnoteReference w:id="47"/>
      </w:r>
      <w:r w:rsidRPr="00A556E2">
        <w:rPr>
          <w:rFonts w:ascii="Calibri Light" w:hAnsi="Calibri Light"/>
          <w:sz w:val="18"/>
          <w:szCs w:val="18"/>
        </w:rPr>
        <w:t xml:space="preserve"> The FDIC has issued an interim final rule that revises the existing capital rules to incorporate certain revisions to the Basel capital framework, including Basel III and other elements. The interim final rule strengthens the definition of regulatory capital, increases risk-based capital requirements, and makes selected changes to the calculation of risk-weighted assets. Basel III Framework is effective 1/1/2014 for large, internationally active insured depository institutions and is effective 1/1/2015 for all other insured depository institutions, subject to a transition period. Standardized Approach is effective 1/1/2015 for all insured depository institutions Applicability: The rule applies to all FDIC-supervised banks and savings associations. Publication Reference: FIL-31-2013 dated 7/9/2013.  Also See: New Capital Rule-Community Bank Guide attached to FIL-13-2013 Informational video and expanded summary on the interim final rule at: </w:t>
      </w:r>
      <w:hyperlink r:id="rId83" w:history="1">
        <w:r w:rsidRPr="00A556E2">
          <w:rPr>
            <w:rStyle w:val="Hyperlink"/>
            <w:rFonts w:ascii="Calibri Light" w:hAnsi="Calibri Light"/>
            <w:sz w:val="18"/>
            <w:szCs w:val="18"/>
          </w:rPr>
          <w:t>www.fdic.gov/regulations/capital</w:t>
        </w:r>
      </w:hyperlink>
      <w:r w:rsidRPr="00A556E2">
        <w:rPr>
          <w:rFonts w:ascii="Calibri Light" w:hAnsi="Calibri Light"/>
          <w:sz w:val="18"/>
          <w:szCs w:val="18"/>
        </w:rPr>
        <w:t>. FDIC Press Release PR-60-2013 dated 7/9/2013</w:t>
      </w:r>
    </w:p>
    <w:p w:rsidR="008F4BEF" w:rsidRPr="00A556E2" w:rsidRDefault="008F4BEF" w:rsidP="008F4BEF">
      <w:pPr>
        <w:spacing w:before="100" w:beforeAutospacing="1" w:after="100" w:afterAutospacing="1"/>
        <w:ind w:left="1440" w:hanging="1440"/>
        <w:rPr>
          <w:rFonts w:ascii="Calibri Light" w:hAnsi="Calibri Light"/>
          <w:sz w:val="18"/>
          <w:szCs w:val="18"/>
        </w:rPr>
      </w:pPr>
      <w:r w:rsidRPr="00A556E2">
        <w:rPr>
          <w:rFonts w:ascii="Calibri Light" w:hAnsi="Calibri Light"/>
          <w:sz w:val="18"/>
          <w:szCs w:val="18"/>
        </w:rPr>
        <w:t>11.30.2014</w:t>
      </w:r>
      <w:r w:rsidRPr="00A556E2">
        <w:rPr>
          <w:rFonts w:ascii="Calibri Light" w:hAnsi="Calibri Light"/>
          <w:sz w:val="18"/>
          <w:szCs w:val="18"/>
        </w:rPr>
        <w:tab/>
        <w:t xml:space="preserve">Servicemembers Civil Relief Act Notice Disclosure, </w:t>
      </w:r>
      <w:hyperlink r:id="rId84" w:history="1">
        <w:r w:rsidRPr="00A556E2">
          <w:rPr>
            <w:rStyle w:val="Hyperlink"/>
            <w:rFonts w:ascii="Calibri Light" w:hAnsi="Calibri Light"/>
            <w:sz w:val="18"/>
            <w:szCs w:val="18"/>
          </w:rPr>
          <w:t>Form HUD-92070</w:t>
        </w:r>
      </w:hyperlink>
      <w:r w:rsidRPr="00A556E2">
        <w:rPr>
          <w:rStyle w:val="EndnoteReference"/>
          <w:rFonts w:ascii="Calibri Light" w:hAnsi="Calibri Light"/>
          <w:sz w:val="18"/>
          <w:szCs w:val="18"/>
        </w:rPr>
        <w:endnoteReference w:id="48"/>
      </w:r>
      <w:r w:rsidRPr="00A556E2">
        <w:rPr>
          <w:rFonts w:ascii="Calibri Light" w:hAnsi="Calibri Light"/>
          <w:sz w:val="18"/>
          <w:szCs w:val="18"/>
        </w:rPr>
        <w:t>, expires.  This form is required to notify homeowners in default of their mortgage of the foreclosure rights of servicemembers and their dependents under SCRA. Presumably, a new form will be available in time.</w:t>
      </w:r>
    </w:p>
    <w:p w:rsidR="008F4BEF" w:rsidRPr="00AD43F2" w:rsidRDefault="008F4BEF" w:rsidP="008F4BEF">
      <w:pPr>
        <w:ind w:left="1440" w:hanging="1440"/>
        <w:rPr>
          <w:rFonts w:ascii="Calibri Light" w:hAnsi="Calibri Light" w:cs="Arial"/>
          <w:sz w:val="18"/>
          <w:szCs w:val="18"/>
        </w:rPr>
      </w:pPr>
      <w:r w:rsidRPr="00AD43F2">
        <w:rPr>
          <w:rFonts w:ascii="Calibri Light" w:hAnsi="Calibri Light" w:cs="Arial"/>
          <w:sz w:val="18"/>
          <w:szCs w:val="18"/>
        </w:rPr>
        <w:t>11.17.2014</w:t>
      </w:r>
      <w:r w:rsidRPr="00AD43F2">
        <w:rPr>
          <w:rFonts w:ascii="Calibri Light" w:hAnsi="Calibri Light" w:cs="Arial"/>
          <w:sz w:val="18"/>
          <w:szCs w:val="18"/>
        </w:rPr>
        <w:tab/>
        <w:t xml:space="preserve">The CFPB amended subpart B of Regulation E, which implements the Electronic Fund Transfer Act, and the official interpretation to the regulation (Remittance Rule). This </w:t>
      </w:r>
      <w:hyperlink r:id="rId85" w:history="1">
        <w:r w:rsidRPr="00AD43F2">
          <w:rPr>
            <w:rStyle w:val="Hyperlink"/>
            <w:rFonts w:ascii="Calibri Light" w:hAnsi="Calibri Light" w:cs="Arial"/>
            <w:sz w:val="18"/>
            <w:szCs w:val="18"/>
          </w:rPr>
          <w:t>final rule</w:t>
        </w:r>
      </w:hyperlink>
      <w:r w:rsidRPr="00AD43F2">
        <w:rPr>
          <w:rStyle w:val="EndnoteReference"/>
          <w:rFonts w:ascii="Calibri Light" w:hAnsi="Calibri Light"/>
          <w:sz w:val="18"/>
          <w:szCs w:val="18"/>
        </w:rPr>
        <w:endnoteReference w:id="49"/>
      </w:r>
      <w:r w:rsidRPr="00AD43F2">
        <w:rPr>
          <w:rFonts w:ascii="Calibri Light" w:hAnsi="Calibri Light" w:cs="Arial"/>
          <w:sz w:val="18"/>
          <w:szCs w:val="18"/>
        </w:rPr>
        <w:t xml:space="preserve"> extends a temporary provision that permits insured institutions to estimate certain pricing disclosures pursuant to section 1073 of the Dodd-Frank Wall Street Reform and Consumer Protection Act. Absent further action by the Bureau, that exception would have expired on July 21, 2015. Based on a determination that the termination of the exception would negatively affect the ability of insured institutions to send remittance transfers, the Bureau is extending the temporary exception by five years from July 21, 2015, to July 21, 2020. The Bureau is also making several clarifications and technical corrections to the regulation and commentary.</w:t>
      </w:r>
    </w:p>
    <w:p w:rsidR="008F4BEF" w:rsidRPr="00AD43F2" w:rsidRDefault="008F4BEF" w:rsidP="008F4BEF">
      <w:pPr>
        <w:ind w:left="1440" w:hanging="1440"/>
        <w:rPr>
          <w:rFonts w:ascii="Calibri Light" w:hAnsi="Calibri Light" w:cs="Arial"/>
          <w:sz w:val="18"/>
          <w:szCs w:val="18"/>
        </w:rPr>
      </w:pPr>
    </w:p>
    <w:p w:rsidR="008F4BEF" w:rsidRPr="00AD43F2" w:rsidRDefault="008F4BEF" w:rsidP="008F4BEF">
      <w:pPr>
        <w:pStyle w:val="Heading"/>
        <w:ind w:left="1440" w:hanging="1440"/>
        <w:rPr>
          <w:rFonts w:ascii="Calibri Light" w:hAnsi="Calibri Light"/>
          <w:b w:val="0"/>
          <w:color w:val="auto"/>
          <w:sz w:val="18"/>
          <w:szCs w:val="18"/>
        </w:rPr>
      </w:pPr>
      <w:r w:rsidRPr="00AD43F2">
        <w:rPr>
          <w:rFonts w:ascii="Calibri Light" w:hAnsi="Calibri Light"/>
          <w:b w:val="0"/>
          <w:color w:val="auto"/>
          <w:sz w:val="18"/>
          <w:szCs w:val="18"/>
        </w:rPr>
        <w:t>11.10.2014</w:t>
      </w:r>
      <w:r w:rsidRPr="00AD43F2">
        <w:rPr>
          <w:rFonts w:ascii="Calibri Light" w:hAnsi="Calibri Light"/>
          <w:sz w:val="18"/>
          <w:szCs w:val="18"/>
        </w:rPr>
        <w:tab/>
      </w:r>
      <w:r w:rsidRPr="00AD43F2">
        <w:rPr>
          <w:rFonts w:ascii="Calibri Light" w:hAnsi="Calibri Light"/>
          <w:b w:val="0"/>
          <w:color w:val="auto"/>
          <w:sz w:val="18"/>
          <w:szCs w:val="18"/>
        </w:rPr>
        <w:t xml:space="preserve">CFPB </w:t>
      </w:r>
      <w:hyperlink r:id="rId86" w:history="1">
        <w:r w:rsidRPr="00AD43F2">
          <w:rPr>
            <w:rStyle w:val="Hyperlink"/>
            <w:rFonts w:ascii="Calibri Light" w:hAnsi="Calibri Light"/>
            <w:b w:val="0"/>
            <w:sz w:val="18"/>
            <w:szCs w:val="18"/>
          </w:rPr>
          <w:t>finalized a rule</w:t>
        </w:r>
      </w:hyperlink>
      <w:r w:rsidRPr="00AD43F2">
        <w:rPr>
          <w:rStyle w:val="EndnoteReference"/>
          <w:rFonts w:ascii="Calibri Light" w:hAnsi="Calibri Light"/>
          <w:b w:val="0"/>
          <w:color w:val="auto"/>
          <w:sz w:val="18"/>
          <w:szCs w:val="18"/>
        </w:rPr>
        <w:endnoteReference w:id="50"/>
      </w:r>
      <w:r w:rsidRPr="00AD43F2">
        <w:rPr>
          <w:rFonts w:ascii="Calibri Light" w:hAnsi="Calibri Light"/>
          <w:b w:val="0"/>
          <w:color w:val="auto"/>
          <w:sz w:val="18"/>
          <w:szCs w:val="18"/>
        </w:rPr>
        <w:t xml:space="preserve"> to allow financial institutions to use an alternative delivery method to provide annual privacy notices through posting the annual notices on their websites if they meet certain conditions. Specifically, financial institutions may use the alternative delivery method for annual privacy notices if:</w:t>
      </w:r>
    </w:p>
    <w:p w:rsidR="008F4BEF" w:rsidRPr="00AD43F2" w:rsidRDefault="008F4BEF" w:rsidP="008F4BEF">
      <w:pPr>
        <w:pStyle w:val="Heading"/>
        <w:ind w:left="1440" w:hanging="1440"/>
        <w:rPr>
          <w:rFonts w:ascii="Calibri Light" w:hAnsi="Calibri Light"/>
          <w:b w:val="0"/>
          <w:color w:val="auto"/>
          <w:sz w:val="18"/>
          <w:szCs w:val="18"/>
        </w:rPr>
      </w:pPr>
    </w:p>
    <w:p w:rsidR="008F4BEF" w:rsidRPr="00AD43F2" w:rsidRDefault="008F4BEF" w:rsidP="008F4BEF">
      <w:pPr>
        <w:pStyle w:val="Heading"/>
        <w:numPr>
          <w:ilvl w:val="0"/>
          <w:numId w:val="2"/>
        </w:numPr>
        <w:ind w:left="1800"/>
        <w:rPr>
          <w:rFonts w:ascii="Calibri Light" w:hAnsi="Calibri Light"/>
          <w:b w:val="0"/>
          <w:color w:val="auto"/>
          <w:sz w:val="18"/>
          <w:szCs w:val="18"/>
        </w:rPr>
      </w:pPr>
      <w:r w:rsidRPr="00AD43F2">
        <w:rPr>
          <w:rFonts w:ascii="Calibri Light" w:hAnsi="Calibri Light"/>
          <w:b w:val="0"/>
          <w:color w:val="auto"/>
          <w:sz w:val="18"/>
          <w:szCs w:val="18"/>
        </w:rPr>
        <w:t>no opt-out rights are triggered by the financial institution’s information sharing practices under GLBA or FCRA section 603, and opt-out notices required by FCRA section 624 have previously been provided, if applicable, or the annual privacy notice is not the only notice provided to satisfy those requirements;</w:t>
      </w:r>
    </w:p>
    <w:p w:rsidR="008F4BEF" w:rsidRPr="00AD43F2" w:rsidRDefault="008F4BEF" w:rsidP="008F4BEF">
      <w:pPr>
        <w:pStyle w:val="Heading"/>
        <w:numPr>
          <w:ilvl w:val="0"/>
          <w:numId w:val="2"/>
        </w:numPr>
        <w:ind w:left="1800"/>
        <w:rPr>
          <w:rFonts w:ascii="Calibri Light" w:hAnsi="Calibri Light"/>
          <w:b w:val="0"/>
          <w:color w:val="auto"/>
          <w:sz w:val="18"/>
          <w:szCs w:val="18"/>
        </w:rPr>
      </w:pPr>
      <w:r w:rsidRPr="00AD43F2">
        <w:rPr>
          <w:rFonts w:ascii="Calibri Light" w:hAnsi="Calibri Light"/>
          <w:b w:val="0"/>
          <w:color w:val="auto"/>
          <w:sz w:val="18"/>
          <w:szCs w:val="18"/>
        </w:rPr>
        <w:t>the information included in the privacy notice has not changed since the customer received the previous notice; and</w:t>
      </w:r>
    </w:p>
    <w:p w:rsidR="008F4BEF" w:rsidRPr="00AD43F2" w:rsidRDefault="008F4BEF" w:rsidP="008F4BEF">
      <w:pPr>
        <w:pStyle w:val="Heading"/>
        <w:numPr>
          <w:ilvl w:val="0"/>
          <w:numId w:val="2"/>
        </w:numPr>
        <w:ind w:left="1800"/>
        <w:rPr>
          <w:rFonts w:ascii="Calibri Light" w:hAnsi="Calibri Light"/>
          <w:b w:val="0"/>
          <w:color w:val="auto"/>
          <w:sz w:val="18"/>
          <w:szCs w:val="18"/>
        </w:rPr>
      </w:pPr>
      <w:r w:rsidRPr="00AD43F2">
        <w:rPr>
          <w:rFonts w:ascii="Calibri Light" w:hAnsi="Calibri Light"/>
          <w:b w:val="0"/>
          <w:color w:val="auto"/>
          <w:sz w:val="18"/>
          <w:szCs w:val="18"/>
        </w:rPr>
        <w:t>the financial institution uses the model form provided in Regulation P as its annual privacy notice</w:t>
      </w:r>
    </w:p>
    <w:p w:rsidR="008F4BEF" w:rsidRPr="00AD43F2" w:rsidRDefault="008F4BEF" w:rsidP="008F4BEF">
      <w:pPr>
        <w:pStyle w:val="Heading"/>
        <w:ind w:left="1440" w:hanging="1440"/>
        <w:rPr>
          <w:rFonts w:ascii="Calibri Light" w:hAnsi="Calibri Light"/>
          <w:b w:val="0"/>
          <w:color w:val="auto"/>
          <w:sz w:val="18"/>
          <w:szCs w:val="18"/>
        </w:rPr>
      </w:pPr>
    </w:p>
    <w:p w:rsidR="008F4BEF" w:rsidRPr="00AD43F2" w:rsidRDefault="008F4BEF" w:rsidP="008F4BEF">
      <w:pPr>
        <w:ind w:left="1440" w:hanging="1440"/>
        <w:rPr>
          <w:rFonts w:ascii="Calibri Light" w:hAnsi="Calibri Light" w:cs="Arial"/>
          <w:sz w:val="18"/>
          <w:szCs w:val="18"/>
        </w:rPr>
      </w:pPr>
      <w:r w:rsidRPr="00AD43F2">
        <w:rPr>
          <w:rFonts w:ascii="Calibri Light" w:hAnsi="Calibri Light" w:cs="Arial"/>
          <w:sz w:val="18"/>
          <w:szCs w:val="18"/>
        </w:rPr>
        <w:t>11.03.2014</w:t>
      </w:r>
      <w:r w:rsidRPr="00AD43F2">
        <w:rPr>
          <w:rFonts w:ascii="Calibri Light" w:hAnsi="Calibri Light" w:cs="Arial"/>
          <w:sz w:val="18"/>
          <w:szCs w:val="18"/>
        </w:rPr>
        <w:tab/>
        <w:t xml:space="preserve">The CFPB </w:t>
      </w:r>
      <w:hyperlink r:id="rId87" w:anchor="h-4" w:history="1">
        <w:r w:rsidRPr="00AD43F2">
          <w:rPr>
            <w:rStyle w:val="Hyperlink"/>
            <w:rFonts w:ascii="Calibri Light" w:hAnsi="Calibri Light" w:cs="Arial"/>
            <w:sz w:val="18"/>
            <w:szCs w:val="18"/>
          </w:rPr>
          <w:t>amended</w:t>
        </w:r>
      </w:hyperlink>
      <w:r w:rsidRPr="00AD43F2">
        <w:rPr>
          <w:rStyle w:val="EndnoteReference"/>
          <w:rFonts w:ascii="Calibri Light" w:hAnsi="Calibri Light"/>
          <w:sz w:val="18"/>
          <w:szCs w:val="18"/>
        </w:rPr>
        <w:endnoteReference w:id="51"/>
      </w:r>
      <w:r w:rsidRPr="00AD43F2">
        <w:rPr>
          <w:rFonts w:ascii="Calibri Light" w:hAnsi="Calibri Light" w:cs="Arial"/>
          <w:sz w:val="18"/>
          <w:szCs w:val="18"/>
        </w:rPr>
        <w:t xml:space="preserve"> certain mortgage rules issued in 2013. The final rule provides an alternative small servicer definition for nonprofit entities that meet certain requirements and amends the existing exemption from the ability-to-repay rule for nonprofit entities that meet certain requirements. The final rule also provides a limited, post-consummation cure mechanism for loans that exceed the points and fees limit for qualified mortgages, but that meet the other requirements for being a qualified mortgage at consummation.</w:t>
      </w:r>
    </w:p>
    <w:p w:rsidR="008F4BEF" w:rsidRPr="00AD43F2" w:rsidRDefault="008F4BEF" w:rsidP="008F4BEF">
      <w:pPr>
        <w:spacing w:before="100" w:beforeAutospacing="1" w:after="100" w:afterAutospacing="1"/>
        <w:ind w:left="1440" w:hanging="1440"/>
        <w:rPr>
          <w:rFonts w:ascii="Calibri Light" w:hAnsi="Calibri Light"/>
          <w:sz w:val="18"/>
          <w:szCs w:val="18"/>
        </w:rPr>
      </w:pPr>
      <w:r w:rsidRPr="00AD43F2">
        <w:rPr>
          <w:rFonts w:ascii="Calibri Light" w:hAnsi="Calibri Light"/>
          <w:sz w:val="18"/>
          <w:szCs w:val="18"/>
        </w:rPr>
        <w:t>07.01.2014</w:t>
      </w:r>
      <w:r w:rsidRPr="00AD43F2">
        <w:rPr>
          <w:rFonts w:ascii="Calibri Light" w:hAnsi="Calibri Light"/>
          <w:sz w:val="18"/>
          <w:szCs w:val="18"/>
        </w:rPr>
        <w:tab/>
        <w:t xml:space="preserve">Foreign Tax Compliance Act. FATCA targets noncompliance by U.S. citizens of tax obligations using foreign accounts. FATCA seeks information on accounts held in other countries by U.S. taxpayers. Governments can either permit their Foreign Financial </w:t>
      </w:r>
      <w:r w:rsidRPr="00AD43F2">
        <w:rPr>
          <w:rFonts w:ascii="Calibri Light" w:hAnsi="Calibri Light"/>
          <w:sz w:val="18"/>
          <w:szCs w:val="18"/>
        </w:rPr>
        <w:lastRenderedPageBreak/>
        <w:t xml:space="preserve">Institutions to entire into agreements with the IRS to provide information or they can enter into one of two alternative Model Intergovernmental Agreements with the U.S. Treasury’s </w:t>
      </w:r>
      <w:hyperlink r:id="rId88" w:history="1">
        <w:r w:rsidRPr="00AD43F2">
          <w:rPr>
            <w:rStyle w:val="Hyperlink"/>
            <w:rFonts w:ascii="Calibri Light" w:hAnsi="Calibri Light"/>
            <w:sz w:val="18"/>
            <w:szCs w:val="18"/>
          </w:rPr>
          <w:t>FATCA page</w:t>
        </w:r>
      </w:hyperlink>
      <w:r w:rsidRPr="00AD43F2">
        <w:rPr>
          <w:rStyle w:val="EndnoteReference"/>
          <w:rFonts w:ascii="Calibri Light" w:hAnsi="Calibri Light"/>
          <w:sz w:val="18"/>
          <w:szCs w:val="18"/>
        </w:rPr>
        <w:endnoteReference w:id="52"/>
      </w:r>
      <w:r w:rsidRPr="00AD43F2">
        <w:rPr>
          <w:rFonts w:ascii="Calibri Light" w:hAnsi="Calibri Light"/>
          <w:sz w:val="18"/>
          <w:szCs w:val="18"/>
        </w:rPr>
        <w:t xml:space="preserve">. </w:t>
      </w:r>
      <w:hyperlink r:id="rId89" w:history="1">
        <w:r w:rsidRPr="00AD43F2">
          <w:rPr>
            <w:rStyle w:val="Hyperlink"/>
            <w:rFonts w:ascii="Calibri Light" w:hAnsi="Calibri Light"/>
            <w:sz w:val="18"/>
            <w:szCs w:val="18"/>
          </w:rPr>
          <w:t>List of FATCA agreements in effect</w:t>
        </w:r>
      </w:hyperlink>
      <w:r w:rsidRPr="00AD43F2">
        <w:rPr>
          <w:rFonts w:ascii="Calibri Light" w:hAnsi="Calibri Light"/>
          <w:sz w:val="18"/>
          <w:szCs w:val="18"/>
        </w:rPr>
        <w:t>.</w:t>
      </w:r>
      <w:r w:rsidRPr="00AD43F2">
        <w:rPr>
          <w:rStyle w:val="EndnoteReference"/>
          <w:rFonts w:ascii="Calibri Light" w:hAnsi="Calibri Light"/>
          <w:sz w:val="18"/>
          <w:szCs w:val="18"/>
        </w:rPr>
        <w:endnoteReference w:id="53"/>
      </w:r>
    </w:p>
    <w:p w:rsidR="008F4BEF" w:rsidRDefault="008F4BEF" w:rsidP="008F4BEF">
      <w:pPr>
        <w:ind w:left="1440" w:hanging="1440"/>
        <w:rPr>
          <w:rFonts w:ascii="Calibri Light" w:hAnsi="Calibri Light"/>
          <w:sz w:val="18"/>
          <w:szCs w:val="18"/>
        </w:rPr>
      </w:pPr>
    </w:p>
    <w:p w:rsidR="008F4BEF" w:rsidRDefault="008F4BEF" w:rsidP="008F4BEF">
      <w:pPr>
        <w:pStyle w:val="CCTOCHeading"/>
        <w:sectPr w:rsidR="008F4BEF" w:rsidSect="008F4BEF">
          <w:footerReference w:type="default" r:id="rId90"/>
          <w:footerReference w:type="first" r:id="rId91"/>
          <w:endnotePr>
            <w:numFmt w:val="decimal"/>
          </w:endnotePr>
          <w:type w:val="continuous"/>
          <w:pgSz w:w="12240" w:h="15840"/>
          <w:pgMar w:top="720" w:right="720" w:bottom="720" w:left="720" w:header="720" w:footer="432" w:gutter="0"/>
          <w:cols w:space="720"/>
          <w:docGrid w:linePitch="360"/>
        </w:sectPr>
      </w:pPr>
      <w:bookmarkStart w:id="13" w:name="_Toc409519105"/>
      <w:r w:rsidRPr="00AD43F2">
        <w:t>Common words, phrases, and acronyms</w:t>
      </w:r>
      <w:bookmarkEnd w:id="13"/>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237"/>
        <w:gridCol w:w="2383"/>
      </w:tblGrid>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lastRenderedPageBreak/>
              <w:t>APOR</w:t>
            </w:r>
          </w:p>
        </w:tc>
        <w:tc>
          <w:tcPr>
            <w:tcW w:w="2383"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“Average Prime Offer Rates” are derived from average interest rates, points, and other pricing terms offered by a representative sample of creditors for mortgage transactions that have low-risk pricing characteristics.</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ATM</w:t>
            </w:r>
          </w:p>
        </w:tc>
        <w:tc>
          <w:tcPr>
            <w:tcW w:w="2383"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Automated Teller Machine</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CARD Act</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2" w:history="1">
              <w:r w:rsidR="008F4BEF" w:rsidRPr="00120AE6">
                <w:rPr>
                  <w:rStyle w:val="Hyperlink"/>
                  <w:rFonts w:ascii="Georgia" w:hAnsi="Georgia"/>
                  <w:sz w:val="12"/>
                  <w:szCs w:val="12"/>
                </w:rPr>
                <w:t>Credit Card Accountability Responsibility and Disclosure Act of 2009</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CFPB</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3" w:history="1">
              <w:r w:rsidR="008F4BEF" w:rsidRPr="00120AE6">
                <w:rPr>
                  <w:rStyle w:val="Hyperlink"/>
                  <w:rFonts w:ascii="Georgia" w:hAnsi="Georgia"/>
                  <w:sz w:val="12"/>
                  <w:szCs w:val="12"/>
                </w:rPr>
                <w:t>Consumer Financial Protection Bureau</w:t>
              </w:r>
            </w:hyperlink>
            <w:r w:rsidR="008F4BEF" w:rsidRPr="00120AE6">
              <w:rPr>
                <w:rFonts w:ascii="Georgia" w:hAnsi="Georgia"/>
                <w:sz w:val="12"/>
                <w:szCs w:val="12"/>
              </w:rPr>
              <w:t xml:space="preserve"> </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CFR</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4" w:history="1">
              <w:r w:rsidR="008F4BEF" w:rsidRPr="00120AE6">
                <w:rPr>
                  <w:rStyle w:val="Hyperlink"/>
                  <w:rFonts w:ascii="Georgia" w:hAnsi="Georgia"/>
                  <w:sz w:val="12"/>
                  <w:szCs w:val="12"/>
                </w:rPr>
                <w:t>Code of Federal Regulations</w:t>
              </w:r>
            </w:hyperlink>
            <w:r w:rsidR="008F4BEF" w:rsidRPr="00120AE6">
              <w:rPr>
                <w:rFonts w:ascii="Georgia" w:hAnsi="Georgia"/>
                <w:sz w:val="12"/>
                <w:szCs w:val="12"/>
              </w:rPr>
              <w:t>. Codification of rules and regulations of federal agencies.</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CRA</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5" w:history="1">
              <w:r w:rsidR="008F4BEF" w:rsidRPr="00120AE6">
                <w:rPr>
                  <w:rStyle w:val="Hyperlink"/>
                  <w:rFonts w:ascii="Georgia" w:hAnsi="Georgia"/>
                  <w:sz w:val="12"/>
                  <w:szCs w:val="12"/>
                </w:rPr>
                <w:t>Community Reinvestment Act</w:t>
              </w:r>
            </w:hyperlink>
            <w:r w:rsidR="008F4BEF" w:rsidRPr="00120AE6">
              <w:rPr>
                <w:rFonts w:ascii="Georgia" w:hAnsi="Georgia"/>
                <w:sz w:val="12"/>
                <w:szCs w:val="12"/>
              </w:rPr>
              <w:t>. This Act is designed to encourage loans in all segments of communities.</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CRE</w:t>
            </w:r>
          </w:p>
        </w:tc>
        <w:tc>
          <w:tcPr>
            <w:tcW w:w="2383"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Commercial Real Estate</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CSBS</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6" w:history="1">
              <w:r w:rsidR="008F4BEF" w:rsidRPr="00120AE6">
                <w:rPr>
                  <w:rStyle w:val="Hyperlink"/>
                  <w:rFonts w:ascii="Georgia" w:hAnsi="Georgia"/>
                  <w:sz w:val="12"/>
                  <w:szCs w:val="12"/>
                </w:rPr>
                <w:t>Conference of State Bank Supervisors</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CTR</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7" w:history="1">
              <w:r w:rsidR="008F4BEF" w:rsidRPr="00120AE6">
                <w:rPr>
                  <w:rStyle w:val="Hyperlink"/>
                  <w:rFonts w:ascii="Georgia" w:hAnsi="Georgia"/>
                  <w:sz w:val="12"/>
                  <w:szCs w:val="12"/>
                </w:rPr>
                <w:t>Currency Transaction Report</w:t>
              </w:r>
            </w:hyperlink>
            <w:r w:rsidR="008F4BEF" w:rsidRPr="00120AE6">
              <w:rPr>
                <w:rFonts w:ascii="Georgia" w:hAnsi="Georgia"/>
                <w:sz w:val="12"/>
                <w:szCs w:val="12"/>
              </w:rPr>
              <w:t>. Filed for each deposit, withdrawal, exchange of currency that involves a transaction in currency of more than $10,000.</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Dodd-Frank Act</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8" w:history="1">
              <w:r w:rsidR="008F4BEF" w:rsidRPr="00120AE6">
                <w:rPr>
                  <w:rStyle w:val="Hyperlink"/>
                  <w:rFonts w:ascii="Georgia" w:hAnsi="Georgia"/>
                  <w:sz w:val="12"/>
                  <w:szCs w:val="12"/>
                </w:rPr>
                <w:t>The Dodd–Frank Wall Street Reform and Consumer Protection Act</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DOJ</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99" w:history="1">
              <w:r w:rsidR="008F4BEF" w:rsidRPr="00120AE6">
                <w:rPr>
                  <w:rStyle w:val="Hyperlink"/>
                  <w:rFonts w:ascii="Georgia" w:hAnsi="Georgia"/>
                  <w:sz w:val="12"/>
                  <w:szCs w:val="12"/>
                </w:rPr>
                <w:t>Department of Justice</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 xml:space="preserve">FDIC </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0" w:history="1">
              <w:r w:rsidR="008F4BEF" w:rsidRPr="00120AE6">
                <w:rPr>
                  <w:rStyle w:val="Hyperlink"/>
                  <w:rFonts w:ascii="Georgia" w:hAnsi="Georgia"/>
                  <w:sz w:val="12"/>
                  <w:szCs w:val="12"/>
                </w:rPr>
                <w:t>Federal Deposit Insurance Corporation</w:t>
              </w:r>
            </w:hyperlink>
            <w:r w:rsidR="008F4BEF" w:rsidRPr="00120AE6">
              <w:rPr>
                <w:rFonts w:ascii="Georgia" w:hAnsi="Georgia"/>
                <w:sz w:val="12"/>
                <w:szCs w:val="12"/>
              </w:rPr>
              <w:t xml:space="preserve"> </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EFTA</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1" w:history="1">
              <w:r w:rsidR="008F4BEF" w:rsidRPr="00120AE6">
                <w:rPr>
                  <w:rStyle w:val="Hyperlink"/>
                  <w:rFonts w:ascii="Georgia" w:hAnsi="Georgia"/>
                  <w:sz w:val="12"/>
                  <w:szCs w:val="12"/>
                </w:rPr>
                <w:t>Electronic Fund Transfer Act</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 xml:space="preserve">Federal bank regulatory agencies </w:t>
            </w:r>
          </w:p>
        </w:tc>
        <w:tc>
          <w:tcPr>
            <w:tcW w:w="2383"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 xml:space="preserve">FDIC, FRB, and OCC </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 xml:space="preserve">Federal financial institution regulatory agencies </w:t>
            </w:r>
          </w:p>
        </w:tc>
        <w:tc>
          <w:tcPr>
            <w:tcW w:w="2383"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 xml:space="preserve">CFPB, FDIC, FRB, NCUA, and OCC </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FEMA</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2" w:history="1">
              <w:r w:rsidR="008F4BEF" w:rsidRPr="00120AE6">
                <w:rPr>
                  <w:rStyle w:val="Hyperlink"/>
                  <w:rFonts w:ascii="Georgia" w:hAnsi="Georgia"/>
                  <w:sz w:val="12"/>
                  <w:szCs w:val="12"/>
                </w:rPr>
                <w:t>Federal Emergency Management Agency</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FFIEC</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3" w:history="1">
              <w:r w:rsidR="008F4BEF" w:rsidRPr="00120AE6">
                <w:rPr>
                  <w:rStyle w:val="Hyperlink"/>
                  <w:rFonts w:ascii="Georgia" w:hAnsi="Georgia"/>
                  <w:sz w:val="12"/>
                  <w:szCs w:val="12"/>
                </w:rPr>
                <w:t>Federal Financial Institutions Examination Council</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FHFA</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4" w:history="1">
              <w:r w:rsidR="008F4BEF" w:rsidRPr="00120AE6">
                <w:rPr>
                  <w:rStyle w:val="Hyperlink"/>
                  <w:rFonts w:ascii="Georgia" w:hAnsi="Georgia"/>
                  <w:sz w:val="12"/>
                  <w:szCs w:val="12"/>
                </w:rPr>
                <w:t>Federal Housing Finance Agency</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FHA</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5" w:history="1">
              <w:r w:rsidR="008F4BEF" w:rsidRPr="00120AE6">
                <w:rPr>
                  <w:rStyle w:val="Hyperlink"/>
                  <w:rFonts w:ascii="Georgia" w:hAnsi="Georgia"/>
                  <w:sz w:val="12"/>
                  <w:szCs w:val="12"/>
                </w:rPr>
                <w:t>Federal Housing Administration</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FinCEN</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6" w:history="1">
              <w:r w:rsidR="008F4BEF" w:rsidRPr="00120AE6">
                <w:rPr>
                  <w:rStyle w:val="Hyperlink"/>
                  <w:rFonts w:ascii="Georgia" w:hAnsi="Georgia"/>
                  <w:sz w:val="12"/>
                  <w:szCs w:val="12"/>
                </w:rPr>
                <w:t>Financial Crime Enforcement Network</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lastRenderedPageBreak/>
              <w:t>FR</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7" w:history="1">
              <w:r w:rsidR="008F4BEF" w:rsidRPr="00120AE6">
                <w:rPr>
                  <w:rStyle w:val="Hyperlink"/>
                  <w:rFonts w:ascii="Georgia" w:hAnsi="Georgia"/>
                  <w:sz w:val="12"/>
                  <w:szCs w:val="12"/>
                </w:rPr>
                <w:t>Federal Register</w:t>
              </w:r>
            </w:hyperlink>
            <w:r w:rsidR="008F4BEF" w:rsidRPr="00120AE6">
              <w:rPr>
                <w:rFonts w:ascii="Georgia" w:hAnsi="Georgia"/>
                <w:sz w:val="12"/>
                <w:szCs w:val="12"/>
              </w:rPr>
              <w:t>. U.S. government daily publication that contains proposed and final administrative regulations of federal agencies.</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FRB (or Fed)</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08" w:history="1">
              <w:r w:rsidR="008F4BEF" w:rsidRPr="00120AE6">
                <w:rPr>
                  <w:rStyle w:val="Hyperlink"/>
                  <w:rFonts w:ascii="Georgia" w:hAnsi="Georgia"/>
                  <w:sz w:val="12"/>
                  <w:szCs w:val="12"/>
                </w:rPr>
                <w:t>Federal Reserve Board</w:t>
              </w:r>
            </w:hyperlink>
            <w:r w:rsidR="008F4BEF" w:rsidRPr="00120AE6">
              <w:rPr>
                <w:rFonts w:ascii="Georgia" w:hAnsi="Georgia"/>
                <w:sz w:val="12"/>
                <w:szCs w:val="12"/>
              </w:rPr>
              <w:t xml:space="preserve"> </w:t>
            </w:r>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FSOC</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09" w:history="1">
              <w:r w:rsidR="008F4BEF" w:rsidRPr="00120AE6">
                <w:rPr>
                  <w:rStyle w:val="Hyperlink"/>
                  <w:rFonts w:ascii="Georgia" w:hAnsi="Georgia"/>
                  <w:sz w:val="12"/>
                  <w:szCs w:val="12"/>
                </w:rPr>
                <w:t>Financial Stability Oversight Council</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FTC</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0" w:history="1">
              <w:r w:rsidR="008F4BEF" w:rsidRPr="00120AE6">
                <w:rPr>
                  <w:rStyle w:val="Hyperlink"/>
                  <w:rFonts w:ascii="Georgia" w:hAnsi="Georgia"/>
                  <w:sz w:val="12"/>
                  <w:szCs w:val="12"/>
                </w:rPr>
                <w:t>Federal Trade Commission</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GAO</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1" w:history="1">
              <w:r w:rsidR="008F4BEF" w:rsidRPr="00120AE6">
                <w:rPr>
                  <w:rStyle w:val="Hyperlink"/>
                  <w:rFonts w:ascii="Georgia" w:hAnsi="Georgia"/>
                  <w:sz w:val="12"/>
                  <w:szCs w:val="12"/>
                </w:rPr>
                <w:t>Government Accountability Office</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HARP</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12" w:history="1">
              <w:r w:rsidR="008F4BEF" w:rsidRPr="00120AE6">
                <w:rPr>
                  <w:rStyle w:val="Hyperlink"/>
                  <w:rFonts w:ascii="Georgia" w:hAnsi="Georgia"/>
                  <w:sz w:val="12"/>
                  <w:szCs w:val="12"/>
                </w:rPr>
                <w:t>Home Affordable Refinance Program</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HAMP</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13" w:history="1">
              <w:r w:rsidR="008F4BEF" w:rsidRPr="00120AE6">
                <w:rPr>
                  <w:rStyle w:val="Hyperlink"/>
                  <w:rFonts w:ascii="Georgia" w:hAnsi="Georgia"/>
                  <w:sz w:val="12"/>
                  <w:szCs w:val="12"/>
                </w:rPr>
                <w:t>Home Affordable Modification Program</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HMDA</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4" w:history="1">
              <w:r w:rsidR="008F4BEF" w:rsidRPr="00120AE6">
                <w:rPr>
                  <w:rStyle w:val="Hyperlink"/>
                  <w:rFonts w:ascii="Georgia" w:hAnsi="Georgia"/>
                  <w:sz w:val="12"/>
                  <w:szCs w:val="12"/>
                </w:rPr>
                <w:t>Home Mortgage Disclosure Act</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HOEPA</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5" w:history="1">
              <w:r w:rsidR="008F4BEF" w:rsidRPr="00120AE6">
                <w:rPr>
                  <w:rStyle w:val="Hyperlink"/>
                  <w:rFonts w:ascii="Georgia" w:hAnsi="Georgia"/>
                  <w:sz w:val="12"/>
                  <w:szCs w:val="12"/>
                </w:rPr>
                <w:t>Home Ownership and Equity Protections Act of 1994</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HPML</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6" w:anchor="12:8.0.2.14.18.5.1.5" w:history="1">
              <w:r w:rsidR="008F4BEF" w:rsidRPr="00120AE6">
                <w:rPr>
                  <w:rStyle w:val="Hyperlink"/>
                  <w:rFonts w:ascii="Georgia" w:hAnsi="Georgia"/>
                  <w:sz w:val="12"/>
                  <w:szCs w:val="12"/>
                </w:rPr>
                <w:t>Higher Priced Mortgage Loan</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HUD</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7" w:history="1">
              <w:r w:rsidR="008F4BEF" w:rsidRPr="00120AE6">
                <w:rPr>
                  <w:rStyle w:val="Hyperlink"/>
                  <w:rFonts w:ascii="Georgia" w:hAnsi="Georgia"/>
                  <w:sz w:val="12"/>
                  <w:szCs w:val="12"/>
                </w:rPr>
                <w:t>U.S. Department of Housing and Urban Development</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IRS</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8" w:history="1">
              <w:r w:rsidR="008F4BEF" w:rsidRPr="00120AE6">
                <w:rPr>
                  <w:rStyle w:val="Hyperlink"/>
                  <w:rFonts w:ascii="Georgia" w:hAnsi="Georgia"/>
                  <w:sz w:val="12"/>
                  <w:szCs w:val="12"/>
                </w:rPr>
                <w:t>Internal Revenue Service</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MLO</w:t>
            </w:r>
          </w:p>
        </w:tc>
        <w:tc>
          <w:tcPr>
            <w:tcW w:w="2383"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Mortgage Loan Originator</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MOU</w:t>
            </w:r>
          </w:p>
        </w:tc>
        <w:tc>
          <w:tcPr>
            <w:tcW w:w="2383"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Memorandum of Understanding</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NFIP</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19" w:history="1">
              <w:r w:rsidR="008F4BEF" w:rsidRPr="00120AE6">
                <w:rPr>
                  <w:rStyle w:val="Hyperlink"/>
                  <w:rFonts w:ascii="Georgia" w:hAnsi="Georgia"/>
                  <w:sz w:val="12"/>
                  <w:szCs w:val="12"/>
                </w:rPr>
                <w:t>National Flood Insurance Program</w:t>
              </w:r>
            </w:hyperlink>
            <w:r w:rsidR="008F4BEF" w:rsidRPr="00120AE6">
              <w:rPr>
                <w:rFonts w:ascii="Georgia" w:hAnsi="Georgia"/>
                <w:sz w:val="12"/>
                <w:szCs w:val="12"/>
              </w:rPr>
              <w:t>. U.S. government program to allow the purchase of flood insurance from the government.</w:t>
            </w:r>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NMLS</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20" w:history="1">
              <w:r w:rsidR="008F4BEF" w:rsidRPr="00120AE6">
                <w:rPr>
                  <w:rStyle w:val="Hyperlink"/>
                  <w:rFonts w:ascii="Georgia" w:hAnsi="Georgia"/>
                  <w:sz w:val="12"/>
                  <w:szCs w:val="12"/>
                </w:rPr>
                <w:t>National Mortgage Licensing System</w:t>
              </w:r>
            </w:hyperlink>
          </w:p>
        </w:tc>
      </w:tr>
      <w:tr w:rsidR="008F4BEF" w:rsidRPr="00120AE6" w:rsidTr="006F57B3">
        <w:trPr>
          <w:tblCellSpacing w:w="0" w:type="dxa"/>
        </w:trPr>
        <w:tc>
          <w:tcPr>
            <w:tcW w:w="2237" w:type="dxa"/>
            <w:vAlign w:val="center"/>
            <w:hideMark/>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 xml:space="preserve">OCC </w:t>
            </w:r>
          </w:p>
        </w:tc>
        <w:tc>
          <w:tcPr>
            <w:tcW w:w="2383" w:type="dxa"/>
            <w:vAlign w:val="center"/>
            <w:hideMark/>
          </w:tcPr>
          <w:p w:rsidR="008F4BEF" w:rsidRPr="00120AE6" w:rsidRDefault="00123870" w:rsidP="006F57B3">
            <w:pPr>
              <w:spacing w:before="100" w:beforeAutospacing="1" w:after="100" w:afterAutospacing="1"/>
              <w:rPr>
                <w:rFonts w:ascii="Georgia" w:hAnsi="Georgia"/>
                <w:sz w:val="12"/>
                <w:szCs w:val="12"/>
              </w:rPr>
            </w:pPr>
            <w:hyperlink r:id="rId121" w:history="1">
              <w:r w:rsidR="008F4BEF" w:rsidRPr="00120AE6">
                <w:rPr>
                  <w:rStyle w:val="Hyperlink"/>
                  <w:rFonts w:ascii="Georgia" w:hAnsi="Georgia"/>
                  <w:sz w:val="12"/>
                  <w:szCs w:val="12"/>
                </w:rPr>
                <w:t>Office of the Comptroller of the Currency</w:t>
              </w:r>
            </w:hyperlink>
            <w:r w:rsidR="008F4BEF" w:rsidRPr="00120AE6">
              <w:rPr>
                <w:rFonts w:ascii="Georgia" w:hAnsi="Georgia"/>
                <w:sz w:val="12"/>
                <w:szCs w:val="12"/>
              </w:rPr>
              <w:t xml:space="preserve"> </w:t>
            </w:r>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OFAC</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2" w:history="1">
              <w:r w:rsidR="008F4BEF" w:rsidRPr="00120AE6">
                <w:rPr>
                  <w:rStyle w:val="Hyperlink"/>
                  <w:rFonts w:ascii="Georgia" w:hAnsi="Georgia"/>
                  <w:sz w:val="12"/>
                  <w:szCs w:val="12"/>
                </w:rPr>
                <w:t>Office of Foreign Asset Control</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OREO</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3" w:history="1">
              <w:r w:rsidR="008F4BEF" w:rsidRPr="00120AE6">
                <w:rPr>
                  <w:rStyle w:val="Hyperlink"/>
                  <w:rFonts w:ascii="Georgia" w:hAnsi="Georgia"/>
                  <w:sz w:val="12"/>
                  <w:szCs w:val="12"/>
                </w:rPr>
                <w:t>Other Real Estate Owned</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QRM</w:t>
            </w:r>
          </w:p>
        </w:tc>
        <w:tc>
          <w:tcPr>
            <w:tcW w:w="2383"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Qualified Residential Mortgage</w:t>
            </w:r>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w:t>
            </w:r>
          </w:p>
        </w:tc>
        <w:tc>
          <w:tcPr>
            <w:tcW w:w="2383"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Abbreviation for “Regulation” – A federal regulation. These are found in the CFR.</w:t>
            </w:r>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 B</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4" w:history="1">
              <w:r w:rsidR="008F4BEF" w:rsidRPr="00120AE6">
                <w:rPr>
                  <w:rStyle w:val="Hyperlink"/>
                  <w:rFonts w:ascii="Georgia" w:hAnsi="Georgia"/>
                  <w:sz w:val="12"/>
                  <w:szCs w:val="12"/>
                </w:rPr>
                <w:t>Equal Credit Opportunity</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lastRenderedPageBreak/>
              <w:t>Reg. C</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5" w:history="1">
              <w:r w:rsidR="008F4BEF" w:rsidRPr="00120AE6">
                <w:rPr>
                  <w:rStyle w:val="Hyperlink"/>
                  <w:rFonts w:ascii="Georgia" w:hAnsi="Georgia"/>
                  <w:sz w:val="12"/>
                  <w:szCs w:val="12"/>
                </w:rPr>
                <w:t>Home Mortgage Disclosure</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 DD</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6" w:history="1">
              <w:r w:rsidR="008F4BEF" w:rsidRPr="00120AE6">
                <w:rPr>
                  <w:rStyle w:val="Hyperlink"/>
                  <w:rFonts w:ascii="Georgia" w:hAnsi="Georgia"/>
                  <w:sz w:val="12"/>
                  <w:szCs w:val="12"/>
                </w:rPr>
                <w:t>Truth in Savings</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 E</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7" w:history="1">
              <w:r w:rsidR="008F4BEF" w:rsidRPr="00120AE6">
                <w:rPr>
                  <w:rStyle w:val="Hyperlink"/>
                  <w:rFonts w:ascii="Georgia" w:hAnsi="Georgia"/>
                  <w:sz w:val="12"/>
                  <w:szCs w:val="12"/>
                </w:rPr>
                <w:t>Electronic Fund Transfers</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 G</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8" w:history="1">
              <w:r w:rsidR="008F4BEF" w:rsidRPr="00120AE6">
                <w:rPr>
                  <w:rStyle w:val="Hyperlink"/>
                  <w:rFonts w:ascii="Georgia" w:hAnsi="Georgia"/>
                  <w:sz w:val="12"/>
                  <w:szCs w:val="12"/>
                </w:rPr>
                <w:t>S.A.F.E. Mortgage Licensing Act</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 P</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29" w:history="1">
              <w:r w:rsidR="008F4BEF" w:rsidRPr="00120AE6">
                <w:rPr>
                  <w:rStyle w:val="Hyperlink"/>
                  <w:rFonts w:ascii="Georgia" w:hAnsi="Georgia"/>
                  <w:sz w:val="12"/>
                  <w:szCs w:val="12"/>
                </w:rPr>
                <w:t>Privacy of Consumer Financial Information</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 X</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30" w:history="1">
              <w:r w:rsidR="008F4BEF" w:rsidRPr="00120AE6">
                <w:rPr>
                  <w:rStyle w:val="Hyperlink"/>
                  <w:rFonts w:ascii="Georgia" w:hAnsi="Georgia"/>
                  <w:sz w:val="12"/>
                  <w:szCs w:val="12"/>
                </w:rPr>
                <w:t>Real Estate Settlement Procedures Act</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Reg. Z</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31" w:history="1">
              <w:r w:rsidR="008F4BEF" w:rsidRPr="00120AE6">
                <w:rPr>
                  <w:rStyle w:val="Hyperlink"/>
                  <w:rFonts w:ascii="Georgia" w:hAnsi="Georgia"/>
                  <w:sz w:val="12"/>
                  <w:szCs w:val="12"/>
                </w:rPr>
                <w:t>Truth in Lending</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lastRenderedPageBreak/>
              <w:t>RESPA</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32" w:history="1">
              <w:r w:rsidR="008F4BEF" w:rsidRPr="00120AE6">
                <w:rPr>
                  <w:rStyle w:val="Hyperlink"/>
                  <w:rFonts w:ascii="Georgia" w:hAnsi="Georgia"/>
                  <w:sz w:val="12"/>
                  <w:szCs w:val="12"/>
                </w:rPr>
                <w:t>Real Estate Settlement Procedures Act</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SAR</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33" w:history="1">
              <w:r w:rsidR="008F4BEF" w:rsidRPr="00120AE6">
                <w:rPr>
                  <w:rStyle w:val="Hyperlink"/>
                  <w:rFonts w:ascii="Georgia" w:hAnsi="Georgia"/>
                  <w:sz w:val="12"/>
                  <w:szCs w:val="12"/>
                </w:rPr>
                <w:t>Suspicious Activity Report</w:t>
              </w:r>
            </w:hyperlink>
            <w:r w:rsidR="008F4BEF" w:rsidRPr="00120AE6">
              <w:rPr>
                <w:rFonts w:ascii="Georgia" w:hAnsi="Georgia"/>
                <w:sz w:val="12"/>
                <w:szCs w:val="12"/>
              </w:rPr>
              <w:t xml:space="preserve"> – Report financial institutions file with the U.S. government (FinCEN) regarding activity that may be criminal in nature.</w:t>
            </w:r>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SDN</w:t>
            </w:r>
          </w:p>
        </w:tc>
        <w:tc>
          <w:tcPr>
            <w:tcW w:w="2383"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Specially Designated National</w:t>
            </w:r>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TILA</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34" w:history="1">
              <w:r w:rsidR="008F4BEF" w:rsidRPr="00120AE6">
                <w:rPr>
                  <w:rStyle w:val="Hyperlink"/>
                  <w:rFonts w:ascii="Georgia" w:hAnsi="Georgia"/>
                  <w:sz w:val="12"/>
                  <w:szCs w:val="12"/>
                </w:rPr>
                <w:t>Truth in Lending Act</w:t>
              </w:r>
            </w:hyperlink>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TIN</w:t>
            </w:r>
          </w:p>
        </w:tc>
        <w:tc>
          <w:tcPr>
            <w:tcW w:w="2383"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Tax Identification Number</w:t>
            </w:r>
          </w:p>
        </w:tc>
      </w:tr>
      <w:tr w:rsidR="008F4BEF" w:rsidRPr="00120AE6" w:rsidTr="006F57B3">
        <w:trPr>
          <w:tblCellSpacing w:w="0" w:type="dxa"/>
        </w:trPr>
        <w:tc>
          <w:tcPr>
            <w:tcW w:w="2237" w:type="dxa"/>
            <w:vAlign w:val="center"/>
          </w:tcPr>
          <w:p w:rsidR="008F4BEF" w:rsidRPr="00120AE6" w:rsidRDefault="008F4BEF" w:rsidP="006F57B3">
            <w:pPr>
              <w:spacing w:before="100" w:beforeAutospacing="1" w:after="100" w:afterAutospacing="1"/>
              <w:rPr>
                <w:rFonts w:ascii="Georgia" w:hAnsi="Georgia"/>
                <w:sz w:val="12"/>
                <w:szCs w:val="12"/>
              </w:rPr>
            </w:pPr>
            <w:r w:rsidRPr="00120AE6">
              <w:rPr>
                <w:rFonts w:ascii="Georgia" w:hAnsi="Georgia"/>
                <w:sz w:val="12"/>
                <w:szCs w:val="12"/>
              </w:rPr>
              <w:t>Treasury</w:t>
            </w:r>
          </w:p>
        </w:tc>
        <w:tc>
          <w:tcPr>
            <w:tcW w:w="2383" w:type="dxa"/>
            <w:vAlign w:val="center"/>
          </w:tcPr>
          <w:p w:rsidR="008F4BEF" w:rsidRPr="00120AE6" w:rsidRDefault="00123870" w:rsidP="006F57B3">
            <w:pPr>
              <w:spacing w:before="100" w:beforeAutospacing="1" w:after="100" w:afterAutospacing="1"/>
              <w:rPr>
                <w:rFonts w:ascii="Georgia" w:hAnsi="Georgia"/>
                <w:sz w:val="12"/>
                <w:szCs w:val="12"/>
              </w:rPr>
            </w:pPr>
            <w:hyperlink r:id="rId135" w:history="1">
              <w:r w:rsidR="008F4BEF" w:rsidRPr="00120AE6">
                <w:rPr>
                  <w:rStyle w:val="Hyperlink"/>
                  <w:rFonts w:ascii="Georgia" w:hAnsi="Georgia"/>
                  <w:sz w:val="12"/>
                  <w:szCs w:val="12"/>
                </w:rPr>
                <w:t>U.S. Department of Treasury</w:t>
              </w:r>
            </w:hyperlink>
          </w:p>
        </w:tc>
      </w:tr>
    </w:tbl>
    <w:p w:rsidR="008F4BEF" w:rsidRDefault="008F4BEF" w:rsidP="008F4BEF">
      <w:pPr>
        <w:rPr>
          <w:rFonts w:ascii="Georgia" w:hAnsi="Georgia"/>
          <w:b/>
        </w:rPr>
        <w:sectPr w:rsidR="008F4BEF" w:rsidSect="00EC6BE7">
          <w:footerReference w:type="first" r:id="rId136"/>
          <w:type w:val="continuous"/>
          <w:pgSz w:w="12240" w:h="15840"/>
          <w:pgMar w:top="720" w:right="720" w:bottom="720" w:left="720" w:header="720" w:footer="432" w:gutter="0"/>
          <w:cols w:num="2" w:space="720"/>
          <w:titlePg/>
          <w:docGrid w:linePitch="360"/>
        </w:sectPr>
      </w:pPr>
    </w:p>
    <w:p w:rsidR="008F4BEF" w:rsidRDefault="008F4BEF" w:rsidP="008F4BEF">
      <w:pPr>
        <w:rPr>
          <w:rFonts w:ascii="Georgia" w:hAnsi="Georgia"/>
          <w:b/>
        </w:rPr>
      </w:pPr>
    </w:p>
    <w:p w:rsidR="003718DC" w:rsidRPr="00DF2717" w:rsidRDefault="003718DC" w:rsidP="003718DC">
      <w:pPr>
        <w:autoSpaceDE w:val="0"/>
        <w:autoSpaceDN w:val="0"/>
        <w:adjustRightInd w:val="0"/>
        <w:rPr>
          <w:rFonts w:ascii="Arial" w:eastAsia="Times New Roman" w:hAnsi="Arial" w:cs="Arial"/>
          <w:b/>
          <w:bCs/>
          <w:sz w:val="18"/>
          <w:szCs w:val="18"/>
        </w:rPr>
      </w:pPr>
      <w:r w:rsidRPr="00DF2717">
        <w:rPr>
          <w:rFonts w:ascii="Times New Roman" w:eastAsia="Times New Roman" w:hAnsi="Times New Roman" w:cs="Times New Roman"/>
          <w:i/>
          <w:iCs/>
          <w:sz w:val="18"/>
          <w:szCs w:val="18"/>
        </w:rPr>
        <w:t>This publication is designed to provide accurate and authoritative information in regard to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Shannon Phillips Jr., Editor; Oklahoma Edition, copyrighted by Craig Buford, CBAO President and CEO.</w:t>
      </w:r>
    </w:p>
    <w:p w:rsidR="003718DC" w:rsidRPr="00DF2717" w:rsidRDefault="003718DC" w:rsidP="003718DC">
      <w:pPr>
        <w:rPr>
          <w:rFonts w:ascii="Arial" w:eastAsia="Times New Roman" w:hAnsi="Arial" w:cs="Arial"/>
          <w:b/>
          <w:bCs/>
          <w:sz w:val="20"/>
          <w:szCs w:val="20"/>
        </w:rPr>
      </w:pPr>
    </w:p>
    <w:p w:rsidR="003718DC" w:rsidRPr="00DF2717" w:rsidRDefault="003718DC" w:rsidP="003718DC">
      <w:pPr>
        <w:rPr>
          <w:rFonts w:ascii="Arial" w:eastAsia="Times New Roman" w:hAnsi="Arial" w:cs="Arial"/>
          <w:b/>
          <w:bCs/>
          <w:sz w:val="20"/>
          <w:szCs w:val="20"/>
        </w:rPr>
      </w:pPr>
      <w:r w:rsidRPr="00DF2717">
        <w:rPr>
          <w:rFonts w:ascii="Arial" w:eastAsia="Times New Roman" w:hAnsi="Arial" w:cs="Arial"/>
          <w:b/>
          <w:bCs/>
          <w:sz w:val="20"/>
          <w:szCs w:val="20"/>
        </w:rPr>
        <w:t>Capitol Comments</w:t>
      </w:r>
    </w:p>
    <w:p w:rsidR="003718DC" w:rsidRPr="00DF2717" w:rsidRDefault="003718DC" w:rsidP="003718DC">
      <w:pPr>
        <w:rPr>
          <w:rFonts w:ascii="Arial" w:eastAsia="Times New Roman" w:hAnsi="Arial" w:cs="Arial"/>
          <w:b/>
          <w:bCs/>
          <w:sz w:val="20"/>
          <w:szCs w:val="20"/>
        </w:rPr>
      </w:pPr>
      <w:r>
        <w:rPr>
          <w:rFonts w:ascii="Arial" w:eastAsia="Times New Roman" w:hAnsi="Arial" w:cs="Arial"/>
          <w:b/>
          <w:bCs/>
          <w:sz w:val="20"/>
          <w:szCs w:val="20"/>
        </w:rPr>
        <w:t xml:space="preserve">May </w:t>
      </w:r>
      <w:r>
        <w:rPr>
          <w:rFonts w:ascii="Arial" w:eastAsia="Times New Roman" w:hAnsi="Arial" w:cs="Arial"/>
          <w:b/>
          <w:bCs/>
          <w:sz w:val="20"/>
          <w:szCs w:val="20"/>
        </w:rPr>
        <w:t>2015</w:t>
      </w:r>
    </w:p>
    <w:p w:rsidR="003718DC" w:rsidRPr="00DF2717" w:rsidRDefault="003718DC" w:rsidP="003718DC">
      <w:pPr>
        <w:rPr>
          <w:rFonts w:ascii="Times New Roman" w:eastAsia="Times New Roman" w:hAnsi="Times New Roman" w:cs="Times New Roman"/>
          <w:sz w:val="18"/>
          <w:szCs w:val="18"/>
        </w:rPr>
      </w:pPr>
      <w:r w:rsidRPr="00DF2717">
        <w:rPr>
          <w:rFonts w:ascii="Times New Roman" w:eastAsia="Times New Roman" w:hAnsi="Times New Roman" w:cs="Times New Roman"/>
          <w:sz w:val="18"/>
          <w:szCs w:val="18"/>
        </w:rPr>
        <w:t>Craig Buford, CAE</w:t>
      </w:r>
    </w:p>
    <w:p w:rsidR="003718DC" w:rsidRPr="00DF2717" w:rsidRDefault="003718DC" w:rsidP="003718DC">
      <w:pPr>
        <w:rPr>
          <w:rFonts w:ascii="Times New Roman" w:eastAsia="Times New Roman" w:hAnsi="Times New Roman" w:cs="Times New Roman"/>
          <w:sz w:val="18"/>
          <w:szCs w:val="18"/>
        </w:rPr>
      </w:pPr>
      <w:r w:rsidRPr="00DF2717">
        <w:rPr>
          <w:rFonts w:ascii="Times New Roman" w:eastAsia="Times New Roman" w:hAnsi="Times New Roman" w:cs="Times New Roman"/>
          <w:sz w:val="18"/>
          <w:szCs w:val="18"/>
        </w:rPr>
        <w:t xml:space="preserve">President and </w:t>
      </w:r>
      <w:bookmarkStart w:id="14" w:name="_GoBack"/>
      <w:bookmarkEnd w:id="14"/>
      <w:r w:rsidRPr="00DF2717">
        <w:rPr>
          <w:rFonts w:ascii="Times New Roman" w:eastAsia="Times New Roman" w:hAnsi="Times New Roman" w:cs="Times New Roman"/>
          <w:sz w:val="18"/>
          <w:szCs w:val="18"/>
        </w:rPr>
        <w:t>CEO</w:t>
      </w:r>
    </w:p>
    <w:p w:rsidR="003718DC" w:rsidRPr="00DF2717" w:rsidRDefault="003718DC" w:rsidP="003718DC">
      <w:pPr>
        <w:rPr>
          <w:rFonts w:ascii="Times New Roman" w:eastAsia="Times New Roman" w:hAnsi="Times New Roman" w:cs="Times New Roman"/>
          <w:sz w:val="18"/>
          <w:szCs w:val="18"/>
        </w:rPr>
      </w:pPr>
      <w:r w:rsidRPr="00DF2717">
        <w:rPr>
          <w:rFonts w:ascii="Times New Roman" w:eastAsia="Times New Roman" w:hAnsi="Times New Roman" w:cs="Times New Roman"/>
          <w:sz w:val="18"/>
          <w:szCs w:val="18"/>
        </w:rPr>
        <w:t>Community Bankers Association of Oklahoma</w:t>
      </w:r>
    </w:p>
    <w:p w:rsidR="003718DC" w:rsidRPr="00DF2717" w:rsidRDefault="003718DC" w:rsidP="003718DC">
      <w:pPr>
        <w:rPr>
          <w:rFonts w:ascii="Times New Roman" w:eastAsia="Times New Roman" w:hAnsi="Times New Roman" w:cs="Times New Roman"/>
          <w:sz w:val="18"/>
          <w:szCs w:val="18"/>
        </w:rPr>
      </w:pPr>
      <w:r w:rsidRPr="00DF2717">
        <w:rPr>
          <w:rFonts w:ascii="Times New Roman" w:eastAsia="Times New Roman" w:hAnsi="Times New Roman" w:cs="Times New Roman"/>
          <w:sz w:val="18"/>
          <w:szCs w:val="18"/>
        </w:rPr>
        <w:t>4101 Perimeter Center Drive, Suite 107</w:t>
      </w:r>
    </w:p>
    <w:p w:rsidR="003718DC" w:rsidRPr="00DF2717" w:rsidRDefault="003718DC" w:rsidP="003718DC">
      <w:pPr>
        <w:rPr>
          <w:rFonts w:ascii="Times New Roman" w:eastAsia="Times New Roman" w:hAnsi="Times New Roman" w:cs="Times New Roman"/>
          <w:sz w:val="18"/>
          <w:szCs w:val="18"/>
        </w:rPr>
      </w:pPr>
      <w:r w:rsidRPr="00DF2717">
        <w:rPr>
          <w:rFonts w:ascii="Times New Roman" w:eastAsia="Times New Roman" w:hAnsi="Times New Roman" w:cs="Times New Roman"/>
          <w:sz w:val="18"/>
          <w:szCs w:val="18"/>
        </w:rPr>
        <w:t>Oklahoma City, OK 73112</w:t>
      </w:r>
    </w:p>
    <w:p w:rsidR="003718DC" w:rsidRPr="00DF2717" w:rsidRDefault="003718DC" w:rsidP="003718DC">
      <w:pPr>
        <w:rPr>
          <w:rFonts w:ascii="Times New Roman" w:eastAsia="Times New Roman" w:hAnsi="Times New Roman" w:cs="Times New Roman"/>
          <w:sz w:val="18"/>
          <w:szCs w:val="18"/>
        </w:rPr>
      </w:pPr>
      <w:r w:rsidRPr="00DF2717">
        <w:rPr>
          <w:rFonts w:ascii="Times New Roman" w:eastAsia="Times New Roman" w:hAnsi="Times New Roman" w:cs="Times New Roman"/>
          <w:sz w:val="18"/>
          <w:szCs w:val="18"/>
        </w:rPr>
        <w:t>Office: 405-524-4122</w:t>
      </w:r>
    </w:p>
    <w:p w:rsidR="008C2C8E" w:rsidRDefault="008C2C8E"/>
    <w:sectPr w:rsidR="008C2C8E" w:rsidSect="00EC6BE7">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70" w:rsidRDefault="00123870" w:rsidP="008F4BEF">
      <w:r>
        <w:separator/>
      </w:r>
    </w:p>
  </w:endnote>
  <w:endnote w:type="continuationSeparator" w:id="0">
    <w:p w:rsidR="00123870" w:rsidRDefault="00123870" w:rsidP="008F4BEF">
      <w:r>
        <w:continuationSeparator/>
      </w:r>
    </w:p>
  </w:endnote>
  <w:endnote w:id="1">
    <w:p w:rsidR="008F4BEF" w:rsidRDefault="008F4BEF" w:rsidP="008F4BEF">
      <w:pPr>
        <w:pStyle w:val="EndnoteText"/>
      </w:pPr>
      <w:r>
        <w:rPr>
          <w:rStyle w:val="EndnoteReference"/>
        </w:rPr>
        <w:endnoteRef/>
      </w:r>
      <w:r>
        <w:t xml:space="preserve"> </w:t>
      </w:r>
      <w:hyperlink r:id="rId1" w:history="1">
        <w:r w:rsidRPr="00561B80">
          <w:rPr>
            <w:rStyle w:val="Hyperlink"/>
          </w:rPr>
          <w:t>https://www.fdic.gov/news/news/financial/2015/fil15019.html</w:t>
        </w:r>
      </w:hyperlink>
    </w:p>
    <w:p w:rsidR="008F4BEF" w:rsidRDefault="008F4BEF" w:rsidP="008F4BEF">
      <w:pPr>
        <w:pStyle w:val="EndnoteText"/>
      </w:pPr>
    </w:p>
  </w:endnote>
  <w:endnote w:id="2">
    <w:p w:rsidR="008F4BEF" w:rsidRDefault="008F4BEF" w:rsidP="008F4BEF">
      <w:pPr>
        <w:pStyle w:val="EndnoteText"/>
      </w:pPr>
      <w:r>
        <w:rPr>
          <w:rStyle w:val="EndnoteReference"/>
        </w:rPr>
        <w:endnoteRef/>
      </w:r>
      <w:r>
        <w:t xml:space="preserve"> </w:t>
      </w:r>
      <w:hyperlink r:id="rId2" w:history="1">
        <w:r w:rsidRPr="00A62C48">
          <w:rPr>
            <w:rStyle w:val="Hyperlink"/>
          </w:rPr>
          <w:t>http://www.ffiec.gov/cra/pdf/2015_CRA_Guide.pdf</w:t>
        </w:r>
      </w:hyperlink>
    </w:p>
    <w:p w:rsidR="008F4BEF" w:rsidRDefault="008F4BEF" w:rsidP="008F4BEF">
      <w:pPr>
        <w:pStyle w:val="EndnoteText"/>
      </w:pPr>
    </w:p>
  </w:endnote>
  <w:endnote w:id="3">
    <w:p w:rsidR="008F4BEF" w:rsidRDefault="008F4BEF" w:rsidP="008F4BEF">
      <w:pPr>
        <w:pStyle w:val="EndnoteText"/>
      </w:pPr>
      <w:r>
        <w:rPr>
          <w:rStyle w:val="EndnoteReference"/>
        </w:rPr>
        <w:endnoteRef/>
      </w:r>
      <w:r>
        <w:t xml:space="preserve"> </w:t>
      </w:r>
      <w:hyperlink r:id="rId3" w:history="1">
        <w:r w:rsidRPr="005B7339">
          <w:rPr>
            <w:rStyle w:val="Hyperlink"/>
          </w:rPr>
          <w:t>https://www.dallasfed.org/assets/documents/cd/pubs/craloan.pdf</w:t>
        </w:r>
      </w:hyperlink>
    </w:p>
    <w:p w:rsidR="008F4BEF" w:rsidRDefault="008F4BEF" w:rsidP="008F4BEF">
      <w:pPr>
        <w:pStyle w:val="EndnoteText"/>
      </w:pPr>
    </w:p>
  </w:endnote>
  <w:endnote w:id="4">
    <w:p w:rsidR="008F4BEF" w:rsidRDefault="008F4BEF" w:rsidP="008F4BEF">
      <w:pPr>
        <w:pStyle w:val="EndnoteText"/>
      </w:pPr>
      <w:r>
        <w:rPr>
          <w:rStyle w:val="EndnoteReference"/>
        </w:rPr>
        <w:endnoteRef/>
      </w:r>
      <w:r>
        <w:t xml:space="preserve"> </w:t>
      </w:r>
      <w:hyperlink r:id="rId4" w:history="1">
        <w:r w:rsidRPr="00E607A2">
          <w:rPr>
            <w:rStyle w:val="Hyperlink"/>
          </w:rPr>
          <w:t>http://files.consumerfinance.gov/f/201505_cfpb-consumer-advisory-fact-check-your-specialty-consumer-report.pdf</w:t>
        </w:r>
      </w:hyperlink>
    </w:p>
    <w:p w:rsidR="008F4BEF" w:rsidRDefault="008F4BEF" w:rsidP="008F4BEF">
      <w:pPr>
        <w:pStyle w:val="EndnoteText"/>
      </w:pPr>
    </w:p>
  </w:endnote>
  <w:endnote w:id="5">
    <w:p w:rsidR="008F4BEF" w:rsidRDefault="008F4BEF" w:rsidP="008F4BEF">
      <w:pPr>
        <w:pStyle w:val="EndnoteText"/>
      </w:pPr>
      <w:r>
        <w:rPr>
          <w:rStyle w:val="EndnoteReference"/>
        </w:rPr>
        <w:endnoteRef/>
      </w:r>
      <w:r>
        <w:t xml:space="preserve"> </w:t>
      </w:r>
      <w:hyperlink r:id="rId5" w:history="1">
        <w:r w:rsidRPr="00E607A2">
          <w:rPr>
            <w:rStyle w:val="Hyperlink"/>
          </w:rPr>
          <w:t>http://files.consumerfinance.gov/f/201504_cfpb_consumer-advisory_overdraft.pdf</w:t>
        </w:r>
      </w:hyperlink>
    </w:p>
    <w:p w:rsidR="008F4BEF" w:rsidRDefault="008F4BEF" w:rsidP="008F4BEF">
      <w:pPr>
        <w:pStyle w:val="EndnoteText"/>
      </w:pPr>
    </w:p>
  </w:endnote>
  <w:endnote w:id="6">
    <w:p w:rsidR="008F4BEF" w:rsidRDefault="008F4BEF" w:rsidP="008F4BEF">
      <w:pPr>
        <w:pStyle w:val="EndnoteText"/>
      </w:pPr>
      <w:r>
        <w:rPr>
          <w:rStyle w:val="EndnoteReference"/>
        </w:rPr>
        <w:endnoteRef/>
      </w:r>
      <w:r>
        <w:t xml:space="preserve"> </w:t>
      </w:r>
      <w:hyperlink r:id="rId6" w:anchor="workers" w:history="1">
        <w:r w:rsidRPr="00E607A2">
          <w:rPr>
            <w:rStyle w:val="Hyperlink"/>
          </w:rPr>
          <w:t>http://www.consumerfinance.gov/your-money-your-goals/#workers</w:t>
        </w:r>
      </w:hyperlink>
    </w:p>
    <w:p w:rsidR="008F4BEF" w:rsidRDefault="008F4BEF" w:rsidP="008F4BEF">
      <w:pPr>
        <w:pStyle w:val="EndnoteText"/>
      </w:pPr>
    </w:p>
  </w:endnote>
  <w:endnote w:id="7">
    <w:p w:rsidR="008F4BEF" w:rsidRDefault="008F4BEF" w:rsidP="008F4BEF">
      <w:pPr>
        <w:pStyle w:val="EndnoteText"/>
      </w:pPr>
      <w:r>
        <w:rPr>
          <w:rStyle w:val="EndnoteReference"/>
        </w:rPr>
        <w:endnoteRef/>
      </w:r>
      <w:r>
        <w:t xml:space="preserve"> </w:t>
      </w:r>
      <w:hyperlink r:id="rId7" w:history="1">
        <w:r w:rsidRPr="002141FF">
          <w:rPr>
            <w:rStyle w:val="Hyperlink"/>
          </w:rPr>
          <w:t>http://www.consumerfinance.gov/blog/</w:t>
        </w:r>
      </w:hyperlink>
    </w:p>
    <w:p w:rsidR="008F4BEF" w:rsidRDefault="008F4BEF" w:rsidP="008F4BEF">
      <w:pPr>
        <w:pStyle w:val="EndnoteText"/>
      </w:pPr>
    </w:p>
  </w:endnote>
  <w:endnote w:id="8">
    <w:p w:rsidR="008F4BEF" w:rsidRDefault="008F4BEF" w:rsidP="008F4BEF">
      <w:pPr>
        <w:pStyle w:val="EndnoteText"/>
      </w:pPr>
      <w:r>
        <w:rPr>
          <w:rStyle w:val="EndnoteReference"/>
        </w:rPr>
        <w:endnoteRef/>
      </w:r>
      <w:r>
        <w:t xml:space="preserve"> </w:t>
      </w:r>
      <w:hyperlink r:id="rId8" w:history="1">
        <w:r w:rsidRPr="00561B80">
          <w:rPr>
            <w:rStyle w:val="Hyperlink"/>
          </w:rPr>
          <w:t>http://www.consumerfinance.gov/newsroom/cfpb-fines-regions-bank-7-5-million-for-unlawful-overdraft-practices/</w:t>
        </w:r>
      </w:hyperlink>
    </w:p>
    <w:p w:rsidR="008F4BEF" w:rsidRDefault="008F4BEF" w:rsidP="008F4BEF">
      <w:pPr>
        <w:pStyle w:val="EndnoteText"/>
      </w:pPr>
    </w:p>
  </w:endnote>
  <w:endnote w:id="9">
    <w:p w:rsidR="008F4BEF" w:rsidRDefault="008F4BEF" w:rsidP="008F4BEF">
      <w:pPr>
        <w:pStyle w:val="EndnoteText"/>
      </w:pPr>
      <w:r>
        <w:rPr>
          <w:rStyle w:val="EndnoteReference"/>
        </w:rPr>
        <w:endnoteRef/>
      </w:r>
      <w:r>
        <w:t xml:space="preserve"> </w:t>
      </w:r>
      <w:hyperlink r:id="rId9" w:history="1">
        <w:r w:rsidRPr="00561B80">
          <w:rPr>
            <w:rStyle w:val="Hyperlink"/>
          </w:rPr>
          <w:t>http://files.consumerfinance.gov/f/201505_cfpb_consent-order-international-land-consultants.pdf</w:t>
        </w:r>
      </w:hyperlink>
    </w:p>
    <w:p w:rsidR="008F4BEF" w:rsidRDefault="008F4BEF" w:rsidP="008F4BEF">
      <w:pPr>
        <w:pStyle w:val="EndnoteText"/>
      </w:pPr>
    </w:p>
  </w:endnote>
  <w:endnote w:id="10">
    <w:p w:rsidR="008F4BEF" w:rsidRDefault="008F4BEF" w:rsidP="008F4BEF">
      <w:pPr>
        <w:pStyle w:val="EndnoteText"/>
      </w:pPr>
      <w:r>
        <w:rPr>
          <w:rStyle w:val="EndnoteReference"/>
        </w:rPr>
        <w:endnoteRef/>
      </w:r>
      <w:r>
        <w:t xml:space="preserve"> </w:t>
      </w:r>
      <w:hyperlink r:id="rId10" w:history="1">
        <w:r w:rsidRPr="00C83136">
          <w:rPr>
            <w:rStyle w:val="Hyperlink"/>
          </w:rPr>
          <w:t>http://files.consumerfinance.gov/f/201505_cfpb_data-point-credit-invisibles.pdf</w:t>
        </w:r>
      </w:hyperlink>
    </w:p>
    <w:p w:rsidR="008F4BEF" w:rsidRDefault="008F4BEF" w:rsidP="008F4BEF">
      <w:pPr>
        <w:pStyle w:val="EndnoteText"/>
      </w:pPr>
    </w:p>
  </w:endnote>
  <w:endnote w:id="11">
    <w:p w:rsidR="008F4BEF" w:rsidRDefault="008F4BEF" w:rsidP="008F4BEF">
      <w:pPr>
        <w:pStyle w:val="EndnoteText"/>
      </w:pPr>
      <w:r>
        <w:rPr>
          <w:rStyle w:val="EndnoteReference"/>
        </w:rPr>
        <w:endnoteRef/>
      </w:r>
      <w:r>
        <w:t xml:space="preserve"> </w:t>
      </w:r>
      <w:hyperlink r:id="rId11" w:history="1">
        <w:r w:rsidRPr="00354B92">
          <w:rPr>
            <w:rStyle w:val="Hyperlink"/>
          </w:rPr>
          <w:t>http://www.daveramsey.com/blog/no-credit-score-no-home</w:t>
        </w:r>
      </w:hyperlink>
    </w:p>
    <w:p w:rsidR="008F4BEF" w:rsidRDefault="008F4BEF" w:rsidP="008F4BEF">
      <w:pPr>
        <w:pStyle w:val="EndnoteText"/>
      </w:pPr>
    </w:p>
  </w:endnote>
  <w:endnote w:id="12">
    <w:p w:rsidR="008F4BEF" w:rsidRDefault="008F4BEF" w:rsidP="008F4BEF">
      <w:pPr>
        <w:pStyle w:val="EndnoteText"/>
      </w:pPr>
      <w:r>
        <w:rPr>
          <w:rStyle w:val="EndnoteReference"/>
        </w:rPr>
        <w:endnoteRef/>
      </w:r>
      <w:r>
        <w:t xml:space="preserve"> </w:t>
      </w:r>
      <w:hyperlink r:id="rId12" w:history="1">
        <w:r w:rsidRPr="00354B92">
          <w:rPr>
            <w:rStyle w:val="Hyperlink"/>
          </w:rPr>
          <w:t>http://www.experian.com/consumer-products/vantage-score.html</w:t>
        </w:r>
      </w:hyperlink>
    </w:p>
    <w:p w:rsidR="008F4BEF" w:rsidRDefault="008F4BEF" w:rsidP="008F4BEF">
      <w:pPr>
        <w:pStyle w:val="EndnoteText"/>
      </w:pPr>
    </w:p>
  </w:endnote>
  <w:endnote w:id="13">
    <w:p w:rsidR="008F4BEF" w:rsidRDefault="008F4BEF" w:rsidP="008F4BEF">
      <w:pPr>
        <w:pStyle w:val="EndnoteText"/>
      </w:pPr>
      <w:r>
        <w:rPr>
          <w:rStyle w:val="EndnoteReference"/>
        </w:rPr>
        <w:endnoteRef/>
      </w:r>
      <w:r>
        <w:t xml:space="preserve"> </w:t>
      </w:r>
      <w:hyperlink r:id="rId13" w:history="1">
        <w:r w:rsidRPr="002141FF">
          <w:rPr>
            <w:rStyle w:val="Hyperlink"/>
          </w:rPr>
          <w:t>http://www.consumerfinance.gov/newsroom/cfpb-files-suit-against-nationwide-biweekly-for-luring-consumers-with-false-promises-of-mortgage-savings/</w:t>
        </w:r>
      </w:hyperlink>
    </w:p>
    <w:p w:rsidR="008F4BEF" w:rsidRDefault="008F4BEF" w:rsidP="008F4BEF">
      <w:pPr>
        <w:pStyle w:val="EndnoteText"/>
      </w:pPr>
    </w:p>
  </w:endnote>
  <w:endnote w:id="14">
    <w:p w:rsidR="008F4BEF" w:rsidRDefault="008F4BEF" w:rsidP="008F4BEF">
      <w:pPr>
        <w:pStyle w:val="EndnoteText"/>
      </w:pPr>
      <w:r>
        <w:rPr>
          <w:rStyle w:val="EndnoteReference"/>
        </w:rPr>
        <w:endnoteRef/>
      </w:r>
      <w:r>
        <w:t xml:space="preserve"> </w:t>
      </w:r>
      <w:hyperlink r:id="rId14" w:history="1">
        <w:r w:rsidRPr="002141FF">
          <w:rPr>
            <w:rStyle w:val="Hyperlink"/>
          </w:rPr>
          <w:t>http://www.consumerfinance.gov/newsroom/prepared-remarks-of-cfpb-director-richard-cordray-at-the-field-hearing-on-student-loans/</w:t>
        </w:r>
      </w:hyperlink>
    </w:p>
    <w:p w:rsidR="008F4BEF" w:rsidRDefault="008F4BEF" w:rsidP="008F4BEF">
      <w:pPr>
        <w:pStyle w:val="EndnoteText"/>
      </w:pPr>
    </w:p>
  </w:endnote>
  <w:endnote w:id="15">
    <w:p w:rsidR="008F4BEF" w:rsidRDefault="008F4BEF" w:rsidP="008F4BEF">
      <w:pPr>
        <w:pStyle w:val="EndnoteText"/>
      </w:pPr>
      <w:r>
        <w:rPr>
          <w:rStyle w:val="EndnoteReference"/>
        </w:rPr>
        <w:endnoteRef/>
      </w:r>
      <w:r>
        <w:t xml:space="preserve"> </w:t>
      </w:r>
      <w:hyperlink r:id="rId15" w:history="1">
        <w:r w:rsidRPr="002141FF">
          <w:rPr>
            <w:rStyle w:val="Hyperlink"/>
          </w:rPr>
          <w:t>http://www.consumerfinance.gov/students/request-for-information-on-student-loan-servicing/</w:t>
        </w:r>
      </w:hyperlink>
    </w:p>
    <w:p w:rsidR="008F4BEF" w:rsidRDefault="008F4BEF" w:rsidP="008F4BEF">
      <w:pPr>
        <w:pStyle w:val="EndnoteText"/>
      </w:pPr>
    </w:p>
  </w:endnote>
  <w:endnote w:id="16">
    <w:p w:rsidR="008F4BEF" w:rsidRDefault="008F4BEF" w:rsidP="008F4BEF">
      <w:pPr>
        <w:pStyle w:val="EndnoteText"/>
      </w:pPr>
      <w:r>
        <w:rPr>
          <w:rStyle w:val="EndnoteReference"/>
        </w:rPr>
        <w:endnoteRef/>
      </w:r>
      <w:r>
        <w:t xml:space="preserve"> </w:t>
      </w:r>
      <w:hyperlink r:id="rId16" w:anchor="Question-1" w:history="1">
        <w:r w:rsidRPr="005B7339">
          <w:rPr>
            <w:rStyle w:val="Hyperlink"/>
          </w:rPr>
          <w:t>http://www.consumerfinance.gov/paying-for-college/repay-student-debt/#Question-1</w:t>
        </w:r>
      </w:hyperlink>
    </w:p>
    <w:p w:rsidR="008F4BEF" w:rsidRDefault="008F4BEF" w:rsidP="008F4BEF">
      <w:pPr>
        <w:pStyle w:val="EndnoteText"/>
      </w:pPr>
    </w:p>
  </w:endnote>
  <w:endnote w:id="17">
    <w:p w:rsidR="008F4BEF" w:rsidRDefault="008F4BEF" w:rsidP="008F4BEF">
      <w:pPr>
        <w:pStyle w:val="EndnoteText"/>
      </w:pPr>
      <w:r>
        <w:rPr>
          <w:rStyle w:val="EndnoteReference"/>
        </w:rPr>
        <w:endnoteRef/>
      </w:r>
      <w:r>
        <w:t xml:space="preserve"> </w:t>
      </w:r>
      <w:hyperlink r:id="rId17" w:anchor="student-loan" w:history="1">
        <w:r w:rsidRPr="005B7339">
          <w:rPr>
            <w:rStyle w:val="Hyperlink"/>
          </w:rPr>
          <w:t>http://www.consumerfinance.gov/complaint/#student-loan</w:t>
        </w:r>
      </w:hyperlink>
    </w:p>
    <w:p w:rsidR="008F4BEF" w:rsidRDefault="008F4BEF" w:rsidP="008F4BEF">
      <w:pPr>
        <w:pStyle w:val="EndnoteText"/>
      </w:pPr>
    </w:p>
  </w:endnote>
  <w:endnote w:id="18">
    <w:p w:rsidR="008F4BEF" w:rsidRDefault="008F4BEF" w:rsidP="008F4BEF">
      <w:pPr>
        <w:pStyle w:val="EndnoteText"/>
      </w:pPr>
      <w:r>
        <w:rPr>
          <w:rStyle w:val="EndnoteReference"/>
        </w:rPr>
        <w:endnoteRef/>
      </w:r>
      <w:r>
        <w:t xml:space="preserve"> </w:t>
      </w:r>
      <w:hyperlink r:id="rId18" w:history="1">
        <w:r w:rsidRPr="00354B92">
          <w:rPr>
            <w:rStyle w:val="Hyperlink"/>
          </w:rPr>
          <w:t>http://files.consumerfinance.gov/f/201505_cfpb_consent-order-paypal.pdf</w:t>
        </w:r>
      </w:hyperlink>
    </w:p>
    <w:p w:rsidR="008F4BEF" w:rsidRDefault="008F4BEF" w:rsidP="008F4BEF">
      <w:pPr>
        <w:pStyle w:val="EndnoteText"/>
      </w:pPr>
    </w:p>
  </w:endnote>
  <w:endnote w:id="19">
    <w:p w:rsidR="008F4BEF" w:rsidRDefault="008F4BEF" w:rsidP="008F4BEF">
      <w:pPr>
        <w:pStyle w:val="EndnoteText"/>
      </w:pPr>
      <w:r>
        <w:rPr>
          <w:rStyle w:val="EndnoteReference"/>
        </w:rPr>
        <w:endnoteRef/>
      </w:r>
      <w:r>
        <w:t xml:space="preserve"> </w:t>
      </w:r>
      <w:hyperlink r:id="rId19" w:history="1">
        <w:r w:rsidRPr="00354B92">
          <w:rPr>
            <w:rStyle w:val="Hyperlink"/>
          </w:rPr>
          <w:t>http://files.consumerfinance.gov/f/201505_cfpb_complaint-paypal.pdf</w:t>
        </w:r>
      </w:hyperlink>
    </w:p>
    <w:p w:rsidR="008F4BEF" w:rsidRDefault="008F4BEF" w:rsidP="008F4BEF">
      <w:pPr>
        <w:pStyle w:val="EndnoteText"/>
      </w:pPr>
    </w:p>
  </w:endnote>
  <w:endnote w:id="20">
    <w:p w:rsidR="008F4BEF" w:rsidRDefault="008F4BEF" w:rsidP="008F4BEF">
      <w:pPr>
        <w:pStyle w:val="EndnoteText"/>
      </w:pPr>
      <w:r>
        <w:rPr>
          <w:rStyle w:val="EndnoteReference"/>
        </w:rPr>
        <w:endnoteRef/>
      </w:r>
      <w:r>
        <w:t xml:space="preserve"> </w:t>
      </w:r>
      <w:hyperlink r:id="rId20" w:history="1">
        <w:r w:rsidRPr="00561B80">
          <w:rPr>
            <w:rStyle w:val="Hyperlink"/>
          </w:rPr>
          <w:t>https://www.fdic.gov/news/news/financial/2015/fil15018.pdf</w:t>
        </w:r>
      </w:hyperlink>
    </w:p>
    <w:p w:rsidR="008F4BEF" w:rsidRDefault="008F4BEF" w:rsidP="008F4BEF">
      <w:pPr>
        <w:pStyle w:val="EndnoteText"/>
      </w:pPr>
    </w:p>
  </w:endnote>
  <w:endnote w:id="21">
    <w:p w:rsidR="008F4BEF" w:rsidRDefault="008F4BEF" w:rsidP="008F4BEF">
      <w:pPr>
        <w:pStyle w:val="EndnoteText"/>
      </w:pPr>
      <w:r>
        <w:rPr>
          <w:rStyle w:val="EndnoteReference"/>
        </w:rPr>
        <w:endnoteRef/>
      </w:r>
      <w:r>
        <w:t xml:space="preserve"> </w:t>
      </w:r>
      <w:hyperlink r:id="rId21" w:history="1">
        <w:r w:rsidRPr="00561B80">
          <w:rPr>
            <w:rStyle w:val="Hyperlink"/>
          </w:rPr>
          <w:t>https://www.fdic.gov/news/news/press/2015/pr15035.html</w:t>
        </w:r>
      </w:hyperlink>
    </w:p>
    <w:p w:rsidR="008F4BEF" w:rsidRDefault="008F4BEF" w:rsidP="008F4BEF">
      <w:pPr>
        <w:pStyle w:val="EndnoteText"/>
      </w:pPr>
    </w:p>
  </w:endnote>
  <w:endnote w:id="22">
    <w:p w:rsidR="008F4BEF" w:rsidRDefault="008F4BEF" w:rsidP="008F4BEF">
      <w:pPr>
        <w:pStyle w:val="EndnoteText"/>
      </w:pPr>
      <w:r>
        <w:rPr>
          <w:rStyle w:val="EndnoteReference"/>
        </w:rPr>
        <w:endnoteRef/>
      </w:r>
      <w:r>
        <w:t xml:space="preserve"> </w:t>
      </w:r>
      <w:hyperlink r:id="rId22" w:history="1">
        <w:r w:rsidRPr="00561B80">
          <w:rPr>
            <w:rStyle w:val="Hyperlink"/>
          </w:rPr>
          <w:t>http://www.occ.gov/news-issuances/news-releases/2015/nr-occ-2015-63.html</w:t>
        </w:r>
      </w:hyperlink>
    </w:p>
    <w:p w:rsidR="008F4BEF" w:rsidRDefault="008F4BEF" w:rsidP="008F4BEF">
      <w:pPr>
        <w:pStyle w:val="EndnoteText"/>
      </w:pPr>
    </w:p>
  </w:endnote>
  <w:endnote w:id="23">
    <w:p w:rsidR="008F4BEF" w:rsidRDefault="008F4BEF" w:rsidP="008F4BEF">
      <w:pPr>
        <w:pStyle w:val="EndnoteText"/>
      </w:pPr>
      <w:r>
        <w:rPr>
          <w:rStyle w:val="EndnoteReference"/>
        </w:rPr>
        <w:endnoteRef/>
      </w:r>
      <w:r>
        <w:t xml:space="preserve"> </w:t>
      </w:r>
      <w:hyperlink r:id="rId23" w:history="1">
        <w:r w:rsidRPr="00561B80">
          <w:rPr>
            <w:rStyle w:val="Hyperlink"/>
          </w:rPr>
          <w:t>http://www.occ.gov/news-issuances/bulletins/2015/bulletin-2015-27.html</w:t>
        </w:r>
      </w:hyperlink>
    </w:p>
    <w:p w:rsidR="008F4BEF" w:rsidRDefault="008F4BEF" w:rsidP="008F4BEF">
      <w:pPr>
        <w:pStyle w:val="EndnoteText"/>
      </w:pPr>
    </w:p>
  </w:endnote>
  <w:endnote w:id="24">
    <w:p w:rsidR="008F4BEF" w:rsidRDefault="008F4BEF" w:rsidP="008F4BEF">
      <w:pPr>
        <w:pStyle w:val="EndnoteText"/>
      </w:pPr>
      <w:r>
        <w:rPr>
          <w:rStyle w:val="EndnoteReference"/>
        </w:rPr>
        <w:endnoteRef/>
      </w:r>
      <w:r>
        <w:t xml:space="preserve"> </w:t>
      </w:r>
      <w:hyperlink r:id="rId24" w:history="1">
        <w:r w:rsidRPr="00E607A2">
          <w:rPr>
            <w:rStyle w:val="Hyperlink"/>
          </w:rPr>
          <w:t>http://www.occ.gov/publications/publications-by-type/other-publications-reports/cdi-newsletter/small-multifamily-rental-spring-2015/small-multifamily-rental-ezine-table-of-contents.html</w:t>
        </w:r>
      </w:hyperlink>
    </w:p>
    <w:p w:rsidR="008F4BEF" w:rsidRDefault="008F4BEF" w:rsidP="008F4BEF">
      <w:pPr>
        <w:pStyle w:val="EndnoteText"/>
      </w:pPr>
    </w:p>
  </w:endnote>
  <w:endnote w:id="25">
    <w:p w:rsidR="008F4BEF" w:rsidRDefault="008F4BEF" w:rsidP="008F4BEF">
      <w:pPr>
        <w:pStyle w:val="EndnoteText"/>
      </w:pPr>
      <w:r>
        <w:rPr>
          <w:rStyle w:val="EndnoteReference"/>
        </w:rPr>
        <w:endnoteRef/>
      </w:r>
      <w:r>
        <w:t xml:space="preserve"> </w:t>
      </w:r>
      <w:hyperlink r:id="rId25" w:history="1">
        <w:r w:rsidRPr="00561B80">
          <w:rPr>
            <w:rStyle w:val="Hyperlink"/>
          </w:rPr>
          <w:t>https://www.frbservices.org/files/communications/pdf/treasury/042115-green-book-update.pdf</w:t>
        </w:r>
      </w:hyperlink>
    </w:p>
    <w:p w:rsidR="008F4BEF" w:rsidRDefault="008F4BEF" w:rsidP="008F4BEF">
      <w:pPr>
        <w:pStyle w:val="EndnoteText"/>
      </w:pPr>
    </w:p>
  </w:endnote>
  <w:endnote w:id="26">
    <w:p w:rsidR="008F4BEF" w:rsidRDefault="008F4BEF" w:rsidP="008F4BEF">
      <w:pPr>
        <w:pStyle w:val="EndnoteText"/>
      </w:pPr>
      <w:r>
        <w:rPr>
          <w:rStyle w:val="EndnoteReference"/>
        </w:rPr>
        <w:endnoteRef/>
      </w:r>
      <w:r>
        <w:t xml:space="preserve"> </w:t>
      </w:r>
      <w:hyperlink r:id="rId26" w:history="1">
        <w:r w:rsidRPr="00561B80">
          <w:rPr>
            <w:rStyle w:val="Hyperlink"/>
          </w:rPr>
          <w:t>https://www.fdic.gov/news/news/financial/2015/fil15020.pdf</w:t>
        </w:r>
      </w:hyperlink>
    </w:p>
    <w:p w:rsidR="008F4BEF" w:rsidRDefault="008F4BEF" w:rsidP="008F4BEF">
      <w:pPr>
        <w:pStyle w:val="EndnoteText"/>
      </w:pPr>
    </w:p>
  </w:endnote>
  <w:endnote w:id="27">
    <w:p w:rsidR="008F4BEF" w:rsidRDefault="008F4BEF" w:rsidP="008F4BEF">
      <w:pPr>
        <w:pStyle w:val="EndnoteText"/>
      </w:pPr>
      <w:r>
        <w:rPr>
          <w:rStyle w:val="EndnoteReference"/>
        </w:rPr>
        <w:endnoteRef/>
      </w:r>
      <w:r>
        <w:t xml:space="preserve"> </w:t>
      </w:r>
      <w:hyperlink r:id="rId27" w:history="1">
        <w:r w:rsidRPr="00561B80">
          <w:rPr>
            <w:rStyle w:val="Hyperlink"/>
          </w:rPr>
          <w:t>http://www.click2houston.com/news/crimecrackdown/houston-police-make-160-bank-juggingrelated-arrests/31660952</w:t>
        </w:r>
      </w:hyperlink>
    </w:p>
    <w:p w:rsidR="008F4BEF" w:rsidRDefault="008F4BEF" w:rsidP="008F4BEF">
      <w:pPr>
        <w:pStyle w:val="EndnoteText"/>
      </w:pPr>
    </w:p>
  </w:endnote>
  <w:endnote w:id="28">
    <w:p w:rsidR="008F4BEF" w:rsidRDefault="008F4BEF" w:rsidP="008F4BEF">
      <w:pPr>
        <w:pStyle w:val="EndnoteText"/>
      </w:pPr>
      <w:r>
        <w:rPr>
          <w:rStyle w:val="EndnoteReference"/>
        </w:rPr>
        <w:endnoteRef/>
      </w:r>
      <w:r>
        <w:t xml:space="preserve"> </w:t>
      </w:r>
      <w:hyperlink r:id="rId28" w:history="1">
        <w:r w:rsidRPr="00561B80">
          <w:rPr>
            <w:rStyle w:val="Hyperlink"/>
          </w:rPr>
          <w:t>http://kxan.com/2015/02/04/bank-jugging-crime-makes-way-from-houston-to-austin/</w:t>
        </w:r>
      </w:hyperlink>
    </w:p>
    <w:p w:rsidR="008F4BEF" w:rsidRDefault="008F4BEF" w:rsidP="008F4BEF">
      <w:pPr>
        <w:pStyle w:val="EndnoteText"/>
      </w:pPr>
    </w:p>
  </w:endnote>
  <w:endnote w:id="29">
    <w:p w:rsidR="008F4BEF" w:rsidRDefault="008F4BEF" w:rsidP="008F4BEF">
      <w:pPr>
        <w:pStyle w:val="EndnoteText"/>
      </w:pPr>
      <w:r>
        <w:rPr>
          <w:rStyle w:val="EndnoteReference"/>
        </w:rPr>
        <w:endnoteRef/>
      </w:r>
      <w:r>
        <w:t xml:space="preserve"> </w:t>
      </w:r>
      <w:hyperlink r:id="rId29" w:history="1">
        <w:r w:rsidRPr="00A62C48">
          <w:rPr>
            <w:rStyle w:val="Hyperlink"/>
          </w:rPr>
          <w:t>http://www.federalreserve.gov/boarddocs/SnLoanSurvey/201505/default.htm</w:t>
        </w:r>
      </w:hyperlink>
    </w:p>
    <w:p w:rsidR="008F4BEF" w:rsidRDefault="008F4BEF" w:rsidP="008F4BEF">
      <w:pPr>
        <w:pStyle w:val="EndnoteText"/>
      </w:pPr>
    </w:p>
  </w:endnote>
  <w:endnote w:id="30">
    <w:p w:rsidR="008F4BEF" w:rsidRDefault="008F4BEF" w:rsidP="008F4BEF">
      <w:pPr>
        <w:pStyle w:val="EndnoteText"/>
      </w:pPr>
      <w:r>
        <w:rPr>
          <w:rStyle w:val="EndnoteReference"/>
        </w:rPr>
        <w:endnoteRef/>
      </w:r>
      <w:r>
        <w:t xml:space="preserve"> </w:t>
      </w:r>
      <w:hyperlink r:id="rId30" w:history="1">
        <w:r w:rsidRPr="002141FF">
          <w:rPr>
            <w:rStyle w:val="Hyperlink"/>
          </w:rPr>
          <w:t>https://www.ftc.gov/news-events/press-releases/2015/05/ftc-launches-new-resource-identity-theft-victims</w:t>
        </w:r>
      </w:hyperlink>
    </w:p>
    <w:p w:rsidR="008F4BEF" w:rsidRDefault="008F4BEF" w:rsidP="008F4BEF">
      <w:pPr>
        <w:pStyle w:val="EndnoteText"/>
      </w:pPr>
    </w:p>
  </w:endnote>
  <w:endnote w:id="31">
    <w:p w:rsidR="008F4BEF" w:rsidRDefault="008F4BEF" w:rsidP="008F4BEF">
      <w:pPr>
        <w:pStyle w:val="EndnoteText"/>
      </w:pPr>
      <w:r>
        <w:rPr>
          <w:rStyle w:val="EndnoteReference"/>
        </w:rPr>
        <w:endnoteRef/>
      </w:r>
      <w:r>
        <w:t xml:space="preserve"> </w:t>
      </w:r>
      <w:hyperlink r:id="rId31" w:history="1">
        <w:r w:rsidRPr="00E607A2">
          <w:rPr>
            <w:rStyle w:val="Hyperlink"/>
          </w:rPr>
          <w:t>http://www.fbi.gov/chicago/press-releases/2014/twenty-nine-defendants-facing-state-or-federal-charges-for-alleged-roles-in-cracking-cards-schemes-costing-banks-millions-of-dollars</w:t>
        </w:r>
      </w:hyperlink>
    </w:p>
    <w:p w:rsidR="008F4BEF" w:rsidRDefault="008F4BEF" w:rsidP="008F4BEF">
      <w:pPr>
        <w:pStyle w:val="EndnoteText"/>
      </w:pPr>
    </w:p>
  </w:endnote>
  <w:endnote w:id="32">
    <w:p w:rsidR="008F4BEF" w:rsidRDefault="008F4BEF" w:rsidP="008F4BEF">
      <w:pPr>
        <w:pStyle w:val="EndnoteText"/>
      </w:pPr>
      <w:r>
        <w:rPr>
          <w:rStyle w:val="EndnoteReference"/>
        </w:rPr>
        <w:endnoteRef/>
      </w:r>
      <w:r>
        <w:t xml:space="preserve"> </w:t>
      </w:r>
      <w:hyperlink r:id="rId32" w:history="1">
        <w:r w:rsidRPr="00561B80">
          <w:rPr>
            <w:rStyle w:val="Hyperlink"/>
          </w:rPr>
          <w:t>http://www.fincen.gov/news_room/rp/sar_by_number.html</w:t>
        </w:r>
      </w:hyperlink>
    </w:p>
    <w:p w:rsidR="008F4BEF" w:rsidRDefault="008F4BEF" w:rsidP="008F4BEF">
      <w:pPr>
        <w:pStyle w:val="EndnoteText"/>
      </w:pPr>
    </w:p>
  </w:endnote>
  <w:endnote w:id="33">
    <w:p w:rsidR="008F4BEF" w:rsidRDefault="008F4BEF" w:rsidP="008F4BEF">
      <w:pPr>
        <w:pStyle w:val="EndnoteText"/>
      </w:pPr>
      <w:r>
        <w:rPr>
          <w:rStyle w:val="EndnoteReference"/>
        </w:rPr>
        <w:endnoteRef/>
      </w:r>
      <w:r>
        <w:t xml:space="preserve"> </w:t>
      </w:r>
      <w:hyperlink r:id="rId33" w:history="1">
        <w:r w:rsidRPr="00561B80">
          <w:rPr>
            <w:rStyle w:val="Hyperlink"/>
          </w:rPr>
          <w:t>https://t.e2ma.net/click/c4phl/oh8lf/s83nwd</w:t>
        </w:r>
      </w:hyperlink>
    </w:p>
    <w:p w:rsidR="008F4BEF" w:rsidRDefault="008F4BEF" w:rsidP="008F4BEF">
      <w:pPr>
        <w:pStyle w:val="EndnoteText"/>
      </w:pPr>
    </w:p>
  </w:endnote>
  <w:endnote w:id="34">
    <w:p w:rsidR="008F4BEF" w:rsidRDefault="008F4BEF" w:rsidP="008F4BEF">
      <w:pPr>
        <w:pStyle w:val="EndnoteText"/>
      </w:pPr>
      <w:r>
        <w:rPr>
          <w:rStyle w:val="EndnoteReference"/>
        </w:rPr>
        <w:endnoteRef/>
      </w:r>
      <w:r>
        <w:t xml:space="preserve"> </w:t>
      </w:r>
      <w:hyperlink r:id="rId34" w:history="1">
        <w:r w:rsidRPr="00561B80">
          <w:rPr>
            <w:rStyle w:val="Hyperlink"/>
          </w:rPr>
          <w:t>https://t.e2ma.net/click/c4phl/oh8lf/804nwd</w:t>
        </w:r>
      </w:hyperlink>
    </w:p>
    <w:p w:rsidR="008F4BEF" w:rsidRDefault="008F4BEF" w:rsidP="008F4BEF">
      <w:pPr>
        <w:pStyle w:val="EndnoteText"/>
      </w:pPr>
    </w:p>
  </w:endnote>
  <w:endnote w:id="35">
    <w:p w:rsidR="008F4BEF" w:rsidRDefault="008F4BEF" w:rsidP="008F4BEF">
      <w:pPr>
        <w:pStyle w:val="EndnoteText"/>
      </w:pPr>
      <w:r>
        <w:rPr>
          <w:rStyle w:val="EndnoteReference"/>
        </w:rPr>
        <w:endnoteRef/>
      </w:r>
      <w:r>
        <w:t xml:space="preserve"> </w:t>
      </w:r>
      <w:hyperlink r:id="rId35" w:history="1">
        <w:r w:rsidRPr="00561B80">
          <w:rPr>
            <w:rStyle w:val="Hyperlink"/>
          </w:rPr>
          <w:t>https://t.e2ma.net/click/c4phl/oh8lf/ot5nwd</w:t>
        </w:r>
      </w:hyperlink>
    </w:p>
    <w:p w:rsidR="008F4BEF" w:rsidRDefault="008F4BEF" w:rsidP="008F4BEF">
      <w:pPr>
        <w:pStyle w:val="EndnoteText"/>
      </w:pPr>
    </w:p>
  </w:endnote>
  <w:endnote w:id="36">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36" w:history="1">
        <w:r w:rsidRPr="00A72A2F">
          <w:rPr>
            <w:rStyle w:val="Hyperlink"/>
            <w:rFonts w:ascii="Calibri Light" w:hAnsi="Calibri Light"/>
            <w:sz w:val="18"/>
            <w:szCs w:val="18"/>
          </w:rPr>
          <w:t>https://www.frbservices.org/fedfocus/index.html</w:t>
        </w:r>
      </w:hyperlink>
    </w:p>
    <w:p w:rsidR="008F4BEF" w:rsidRPr="00A72A2F" w:rsidRDefault="008F4BEF" w:rsidP="008F4BEF">
      <w:pPr>
        <w:pStyle w:val="EndnoteText"/>
        <w:rPr>
          <w:rFonts w:ascii="Calibri Light" w:hAnsi="Calibri Light"/>
          <w:sz w:val="18"/>
          <w:szCs w:val="18"/>
        </w:rPr>
      </w:pPr>
    </w:p>
  </w:endnote>
  <w:endnote w:id="37">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37" w:history="1">
        <w:r w:rsidRPr="00A72A2F">
          <w:rPr>
            <w:rStyle w:val="Hyperlink"/>
            <w:rFonts w:ascii="Calibri Light" w:hAnsi="Calibri Light"/>
            <w:sz w:val="18"/>
            <w:szCs w:val="18"/>
          </w:rPr>
          <w:t>https://www.frbservices.org/fedflash/</w:t>
        </w:r>
      </w:hyperlink>
    </w:p>
    <w:p w:rsidR="008F4BEF" w:rsidRPr="00A72A2F" w:rsidRDefault="008F4BEF" w:rsidP="008F4BEF">
      <w:pPr>
        <w:pStyle w:val="EndnoteText"/>
        <w:rPr>
          <w:rFonts w:ascii="Calibri Light" w:hAnsi="Calibri Light"/>
          <w:sz w:val="18"/>
          <w:szCs w:val="18"/>
        </w:rPr>
      </w:pPr>
    </w:p>
  </w:endnote>
  <w:endnote w:id="38">
    <w:p w:rsidR="008F4BEF" w:rsidRDefault="008F4BEF" w:rsidP="008F4BEF">
      <w:pPr>
        <w:pStyle w:val="EndnoteText"/>
      </w:pPr>
      <w:r>
        <w:rPr>
          <w:rStyle w:val="EndnoteReference"/>
        </w:rPr>
        <w:endnoteRef/>
      </w:r>
      <w:r>
        <w:t xml:space="preserve"> </w:t>
      </w:r>
      <w:hyperlink r:id="rId38" w:history="1">
        <w:r w:rsidRPr="00354B92">
          <w:rPr>
            <w:rStyle w:val="Hyperlink"/>
          </w:rPr>
          <w:t>http://portal.hud.gov/hudportal/HUD?src=/press/press_releases_media_advisories/2015/HUDNo_15-060</w:t>
        </w:r>
      </w:hyperlink>
    </w:p>
    <w:p w:rsidR="008F4BEF" w:rsidRDefault="008F4BEF" w:rsidP="008F4BEF">
      <w:pPr>
        <w:pStyle w:val="EndnoteText"/>
      </w:pPr>
    </w:p>
  </w:endnote>
  <w:endnote w:id="39">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39" w:history="1">
        <w:r w:rsidRPr="00A72A2F">
          <w:rPr>
            <w:rStyle w:val="Hyperlink"/>
            <w:rFonts w:ascii="Calibri Light" w:hAnsi="Calibri Light"/>
            <w:sz w:val="18"/>
            <w:szCs w:val="18"/>
          </w:rPr>
          <w:t>https://www.federalregister.gov/articles/2013/12/31/2013-28210/integrated-mortgage-disclosures-under-the-real-estate-settlement-procedures-act-regulation-x-and-the</w:t>
        </w:r>
      </w:hyperlink>
    </w:p>
    <w:p w:rsidR="008F4BEF" w:rsidRPr="00A72A2F" w:rsidRDefault="008F4BEF" w:rsidP="008F4BEF">
      <w:pPr>
        <w:pStyle w:val="EndnoteText"/>
        <w:rPr>
          <w:rFonts w:ascii="Calibri Light" w:hAnsi="Calibri Light"/>
          <w:sz w:val="18"/>
          <w:szCs w:val="18"/>
        </w:rPr>
      </w:pPr>
    </w:p>
  </w:endnote>
  <w:endnote w:id="40">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40" w:history="1">
        <w:r w:rsidRPr="00A72A2F">
          <w:rPr>
            <w:rStyle w:val="Hyperlink"/>
            <w:rFonts w:ascii="Calibri Light" w:hAnsi="Calibri Light"/>
            <w:sz w:val="18"/>
            <w:szCs w:val="18"/>
          </w:rPr>
          <w:t>https://www.federalregister.gov/articles/2013/12/31/2013-28210/integrated-mortgage-disclosures-under-the-real-estate-settlement-procedures-act-regulation-x-and-the</w:t>
        </w:r>
      </w:hyperlink>
    </w:p>
    <w:p w:rsidR="008F4BEF" w:rsidRPr="00A72A2F" w:rsidRDefault="008F4BEF" w:rsidP="008F4BEF">
      <w:pPr>
        <w:pStyle w:val="EndnoteText"/>
        <w:rPr>
          <w:rFonts w:ascii="Calibri Light" w:hAnsi="Calibri Light"/>
          <w:sz w:val="18"/>
          <w:szCs w:val="18"/>
        </w:rPr>
      </w:pPr>
    </w:p>
  </w:endnote>
  <w:endnote w:id="41">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41" w:history="1">
        <w:r w:rsidRPr="00A72A2F">
          <w:rPr>
            <w:rStyle w:val="Hyperlink"/>
            <w:rFonts w:ascii="Calibri Light" w:hAnsi="Calibri Light"/>
            <w:sz w:val="18"/>
            <w:szCs w:val="18"/>
          </w:rPr>
          <w:t>https://www.federalregister.gov/articles/2015/02/19/2015-01321/amendments-to-the-2013-integrated-mortgage-disclosures-rule-under-the-real-estate-settlement</w:t>
        </w:r>
      </w:hyperlink>
    </w:p>
    <w:p w:rsidR="008F4BEF" w:rsidRPr="00A72A2F" w:rsidRDefault="008F4BEF" w:rsidP="008F4BEF">
      <w:pPr>
        <w:pStyle w:val="EndnoteText"/>
        <w:rPr>
          <w:rFonts w:ascii="Calibri Light" w:hAnsi="Calibri Light"/>
          <w:sz w:val="18"/>
          <w:szCs w:val="18"/>
        </w:rPr>
      </w:pPr>
    </w:p>
  </w:endnote>
  <w:endnote w:id="42">
    <w:p w:rsidR="008F4BEF" w:rsidRPr="00BE33EA" w:rsidRDefault="008F4BEF" w:rsidP="008F4BEF">
      <w:pPr>
        <w:pStyle w:val="EndnoteText"/>
        <w:rPr>
          <w:rFonts w:ascii="Calibri Light" w:hAnsi="Calibri Light"/>
          <w:sz w:val="18"/>
          <w:szCs w:val="18"/>
        </w:rPr>
      </w:pPr>
      <w:r w:rsidRPr="00BE33EA">
        <w:rPr>
          <w:rStyle w:val="EndnoteReference"/>
          <w:rFonts w:ascii="Calibri Light" w:hAnsi="Calibri Light"/>
          <w:sz w:val="18"/>
          <w:szCs w:val="18"/>
        </w:rPr>
        <w:endnoteRef/>
      </w:r>
      <w:r w:rsidRPr="00BE33EA">
        <w:rPr>
          <w:rFonts w:ascii="Calibri Light" w:hAnsi="Calibri Light"/>
          <w:sz w:val="18"/>
          <w:szCs w:val="18"/>
        </w:rPr>
        <w:t xml:space="preserve"> </w:t>
      </w:r>
      <w:hyperlink r:id="rId42" w:history="1">
        <w:r w:rsidRPr="00BE33EA">
          <w:rPr>
            <w:rStyle w:val="Hyperlink"/>
            <w:rFonts w:ascii="Calibri Light" w:hAnsi="Calibri Light"/>
            <w:sz w:val="18"/>
            <w:szCs w:val="18"/>
          </w:rPr>
          <w:t>http://www.gpo.gov/fdsys/pkg/FR-2015-04-15/pdf/2015-08513.pdf</w:t>
        </w:r>
      </w:hyperlink>
    </w:p>
    <w:p w:rsidR="008F4BEF" w:rsidRDefault="008F4BEF" w:rsidP="008F4BEF">
      <w:pPr>
        <w:pStyle w:val="EndnoteText"/>
      </w:pPr>
    </w:p>
  </w:endnote>
  <w:endnote w:id="43">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43" w:history="1">
        <w:r w:rsidRPr="00A72A2F">
          <w:rPr>
            <w:rStyle w:val="Hyperlink"/>
            <w:rFonts w:ascii="Calibri Light" w:hAnsi="Calibri Light"/>
            <w:sz w:val="18"/>
            <w:szCs w:val="18"/>
          </w:rPr>
          <w:t>https://www.federalregister.gov/articles/2014/12/24/2014-29256/credit-risk-retention</w:t>
        </w:r>
      </w:hyperlink>
    </w:p>
    <w:p w:rsidR="008F4BEF" w:rsidRPr="00A72A2F" w:rsidRDefault="008F4BEF" w:rsidP="008F4BEF">
      <w:pPr>
        <w:pStyle w:val="EndnoteText"/>
        <w:rPr>
          <w:rFonts w:ascii="Calibri Light" w:hAnsi="Calibri Light"/>
          <w:sz w:val="18"/>
          <w:szCs w:val="18"/>
        </w:rPr>
      </w:pPr>
    </w:p>
  </w:endnote>
  <w:endnote w:id="44">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44" w:anchor="h-4" w:history="1">
        <w:r w:rsidRPr="00A72A2F">
          <w:rPr>
            <w:rStyle w:val="Hyperlink"/>
            <w:rFonts w:ascii="Calibri Light" w:hAnsi="Calibri Light"/>
            <w:sz w:val="18"/>
            <w:szCs w:val="18"/>
          </w:rPr>
          <w:t>https://www.federalregister.gov/articles/2014/08/15/2014-18838/truth-in-lending-regulation-z-annual-threshold-adjustments-card-act-hoepa-and-atrqm#h-4</w:t>
        </w:r>
      </w:hyperlink>
    </w:p>
    <w:p w:rsidR="008F4BEF" w:rsidRPr="00A72A2F" w:rsidRDefault="008F4BEF" w:rsidP="008F4BEF">
      <w:pPr>
        <w:pStyle w:val="EndnoteText"/>
        <w:rPr>
          <w:rFonts w:ascii="Calibri Light" w:hAnsi="Calibri Light"/>
          <w:sz w:val="18"/>
          <w:szCs w:val="18"/>
        </w:rPr>
      </w:pPr>
    </w:p>
  </w:endnote>
  <w:endnote w:id="45">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45" w:history="1">
        <w:r w:rsidRPr="00A72A2F">
          <w:rPr>
            <w:rStyle w:val="Hyperlink"/>
            <w:rFonts w:ascii="Calibri Light" w:hAnsi="Calibri Light"/>
            <w:sz w:val="18"/>
            <w:szCs w:val="18"/>
          </w:rPr>
          <w:t>https://www.federalregister.gov/articles/2014/12/29/2014-30405/truth-in-lending-act-regulation-z-adjustment-to-asset-size-exemption-threshold</w:t>
        </w:r>
      </w:hyperlink>
    </w:p>
    <w:p w:rsidR="008F4BEF" w:rsidRPr="00A72A2F" w:rsidRDefault="008F4BEF" w:rsidP="008F4BEF">
      <w:pPr>
        <w:pStyle w:val="EndnoteText"/>
        <w:rPr>
          <w:rFonts w:ascii="Calibri Light" w:hAnsi="Calibri Light"/>
          <w:sz w:val="18"/>
          <w:szCs w:val="18"/>
        </w:rPr>
      </w:pPr>
    </w:p>
  </w:endnote>
  <w:endnote w:id="46">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46" w:history="1">
        <w:r w:rsidRPr="00A72A2F">
          <w:rPr>
            <w:rStyle w:val="Hyperlink"/>
            <w:rFonts w:ascii="Calibri Light" w:hAnsi="Calibri Light"/>
            <w:sz w:val="18"/>
            <w:szCs w:val="18"/>
          </w:rPr>
          <w:t>https://www.federalregister.gov/articles/2014/12/29/2014-30404/home-mortgage-disclosure-regulation-c-adjustment-to-asset-size-exemption-threshold</w:t>
        </w:r>
      </w:hyperlink>
    </w:p>
    <w:p w:rsidR="008F4BEF" w:rsidRPr="00A72A2F" w:rsidRDefault="008F4BEF" w:rsidP="008F4BEF">
      <w:pPr>
        <w:pStyle w:val="EndnoteText"/>
        <w:rPr>
          <w:rFonts w:ascii="Calibri Light" w:hAnsi="Calibri Light"/>
          <w:sz w:val="18"/>
          <w:szCs w:val="18"/>
        </w:rPr>
      </w:pPr>
    </w:p>
  </w:endnote>
  <w:endnote w:id="47">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47" w:history="1">
        <w:r w:rsidRPr="00A72A2F">
          <w:rPr>
            <w:rStyle w:val="Hyperlink"/>
            <w:rFonts w:ascii="Calibri Light" w:hAnsi="Calibri Light"/>
            <w:sz w:val="18"/>
            <w:szCs w:val="18"/>
          </w:rPr>
          <w:t>http://www.fdic.gov/news/news/financial/2013/fil13031.html</w:t>
        </w:r>
      </w:hyperlink>
    </w:p>
    <w:p w:rsidR="008F4BEF" w:rsidRPr="00A72A2F" w:rsidRDefault="008F4BEF" w:rsidP="008F4BEF">
      <w:pPr>
        <w:pStyle w:val="EndnoteText"/>
        <w:rPr>
          <w:rFonts w:ascii="Calibri Light" w:hAnsi="Calibri Light"/>
          <w:sz w:val="18"/>
          <w:szCs w:val="18"/>
        </w:rPr>
      </w:pPr>
    </w:p>
  </w:endnote>
  <w:endnote w:id="48">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48" w:history="1">
        <w:r w:rsidRPr="00A72A2F">
          <w:rPr>
            <w:rStyle w:val="Hyperlink"/>
            <w:rFonts w:ascii="Calibri Light" w:hAnsi="Calibri Light"/>
            <w:sz w:val="18"/>
            <w:szCs w:val="18"/>
          </w:rPr>
          <w:t>http://portal.hud.gov/hudportal/documents/huddoc?id=92070.pdf</w:t>
        </w:r>
      </w:hyperlink>
    </w:p>
    <w:p w:rsidR="008F4BEF" w:rsidRPr="00A72A2F" w:rsidRDefault="008F4BEF" w:rsidP="008F4BEF">
      <w:pPr>
        <w:pStyle w:val="EndnoteText"/>
        <w:rPr>
          <w:rFonts w:ascii="Calibri Light" w:hAnsi="Calibri Light"/>
          <w:sz w:val="18"/>
          <w:szCs w:val="18"/>
        </w:rPr>
      </w:pPr>
    </w:p>
  </w:endnote>
  <w:endnote w:id="49">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49" w:history="1">
        <w:r w:rsidRPr="00A72A2F">
          <w:rPr>
            <w:rStyle w:val="Hyperlink"/>
            <w:rFonts w:ascii="Calibri Light" w:hAnsi="Calibri Light"/>
            <w:sz w:val="18"/>
            <w:szCs w:val="18"/>
          </w:rPr>
          <w:t>https://www.federalregister.gov/articles/2014/09/18/2014-20681/electronic-fund-transfers-regulation-e</w:t>
        </w:r>
      </w:hyperlink>
    </w:p>
    <w:p w:rsidR="008F4BEF" w:rsidRPr="00A72A2F" w:rsidRDefault="008F4BEF" w:rsidP="008F4BEF">
      <w:pPr>
        <w:pStyle w:val="EndnoteText"/>
        <w:rPr>
          <w:rFonts w:ascii="Calibri Light" w:hAnsi="Calibri Light"/>
          <w:sz w:val="18"/>
          <w:szCs w:val="18"/>
        </w:rPr>
      </w:pPr>
    </w:p>
  </w:endnote>
  <w:endnote w:id="50">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50" w:history="1">
        <w:r w:rsidRPr="00A72A2F">
          <w:rPr>
            <w:rStyle w:val="Hyperlink"/>
            <w:rFonts w:ascii="Calibri Light" w:hAnsi="Calibri Light"/>
            <w:sz w:val="18"/>
            <w:szCs w:val="18"/>
          </w:rPr>
          <w:t>https://www.federalregister.gov/articles/2014/10/28/2014-25299/amendment-to-the-annual-privacy-notice-requirement-under-the-gramm-leach-bliley-act-regulation-p</w:t>
        </w:r>
      </w:hyperlink>
    </w:p>
    <w:p w:rsidR="008F4BEF" w:rsidRPr="00A72A2F" w:rsidRDefault="008F4BEF" w:rsidP="008F4BEF">
      <w:pPr>
        <w:pStyle w:val="EndnoteText"/>
        <w:rPr>
          <w:rFonts w:ascii="Calibri Light" w:hAnsi="Calibri Light"/>
          <w:sz w:val="18"/>
          <w:szCs w:val="18"/>
        </w:rPr>
      </w:pPr>
    </w:p>
  </w:endnote>
  <w:endnote w:id="51">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hyperlink r:id="rId51" w:anchor="h-4" w:history="1">
        <w:r w:rsidRPr="00A72A2F">
          <w:rPr>
            <w:rStyle w:val="Hyperlink"/>
            <w:rFonts w:ascii="Calibri Light" w:hAnsi="Calibri Light"/>
            <w:sz w:val="18"/>
            <w:szCs w:val="18"/>
          </w:rPr>
          <w:t>https://www.federalregister.gov/articles/2014/11/03/2014-25503/amendments-to-the-2013-mortgage-rules-under-the-truth-in-lending-act-regulation-z#h-4</w:t>
        </w:r>
      </w:hyperlink>
    </w:p>
    <w:p w:rsidR="008F4BEF" w:rsidRPr="00A72A2F" w:rsidRDefault="008F4BEF" w:rsidP="008F4BEF">
      <w:pPr>
        <w:pStyle w:val="EndnoteText"/>
        <w:rPr>
          <w:rFonts w:ascii="Calibri Light" w:hAnsi="Calibri Light"/>
          <w:sz w:val="18"/>
          <w:szCs w:val="18"/>
        </w:rPr>
      </w:pPr>
    </w:p>
  </w:endnote>
  <w:endnote w:id="52">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52" w:history="1">
        <w:r w:rsidRPr="00A72A2F">
          <w:rPr>
            <w:rStyle w:val="Hyperlink"/>
            <w:rFonts w:ascii="Calibri Light" w:hAnsi="Calibri Light"/>
            <w:sz w:val="18"/>
            <w:szCs w:val="18"/>
          </w:rPr>
          <w:t>http://www.treasury.gov/resource-center/tax-policy/treaties/Pages/FATCA.aspx</w:t>
        </w:r>
      </w:hyperlink>
    </w:p>
    <w:p w:rsidR="008F4BEF" w:rsidRPr="00A72A2F" w:rsidRDefault="008F4BEF" w:rsidP="008F4BEF">
      <w:pPr>
        <w:pStyle w:val="EndnoteText"/>
        <w:rPr>
          <w:rFonts w:ascii="Calibri Light" w:hAnsi="Calibri Light"/>
          <w:sz w:val="18"/>
          <w:szCs w:val="18"/>
        </w:rPr>
      </w:pPr>
    </w:p>
  </w:endnote>
  <w:endnote w:id="53">
    <w:p w:rsidR="008F4BEF" w:rsidRPr="00A72A2F" w:rsidRDefault="008F4BEF" w:rsidP="008F4BEF">
      <w:pPr>
        <w:pStyle w:val="EndnoteText"/>
        <w:rPr>
          <w:rFonts w:ascii="Calibri Light" w:hAnsi="Calibri Light"/>
          <w:sz w:val="18"/>
          <w:szCs w:val="18"/>
        </w:rPr>
      </w:pPr>
      <w:r w:rsidRPr="00A72A2F">
        <w:rPr>
          <w:rStyle w:val="EndnoteReference"/>
          <w:rFonts w:ascii="Calibri Light" w:hAnsi="Calibri Light"/>
          <w:sz w:val="18"/>
          <w:szCs w:val="18"/>
        </w:rPr>
        <w:endnoteRef/>
      </w:r>
      <w:r w:rsidRPr="00A72A2F">
        <w:rPr>
          <w:rFonts w:ascii="Calibri Light" w:hAnsi="Calibri Light"/>
          <w:sz w:val="18"/>
          <w:szCs w:val="18"/>
        </w:rPr>
        <w:t xml:space="preserve"> </w:t>
      </w:r>
      <w:hyperlink r:id="rId53" w:history="1">
        <w:r w:rsidRPr="00A72A2F">
          <w:rPr>
            <w:rStyle w:val="Hyperlink"/>
            <w:rFonts w:ascii="Calibri Light" w:hAnsi="Calibri Light"/>
            <w:sz w:val="18"/>
            <w:szCs w:val="18"/>
          </w:rPr>
          <w:t>http://www.treasury.gov/resource-center/tax-policy/treaties/Pages/FATCA-Archive.aspx</w:t>
        </w:r>
      </w:hyperlink>
    </w:p>
    <w:p w:rsidR="008F4BEF" w:rsidRPr="00A72A2F" w:rsidRDefault="008F4BEF" w:rsidP="008F4BEF">
      <w:pPr>
        <w:pStyle w:val="EndnoteText"/>
        <w:rPr>
          <w:rFonts w:ascii="Calibri Light" w:hAnsi="Calibri Light"/>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Demi">
    <w:altName w:val="Segoe UI Semibold"/>
    <w:charset w:val="00"/>
    <w:family w:val="swiss"/>
    <w:pitch w:val="variable"/>
    <w:sig w:usb0="00000001" w:usb1="00000000" w:usb2="00000000" w:usb3="00000000" w:csb0="00000093"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EF" w:rsidRPr="005E2416" w:rsidRDefault="008F4BEF" w:rsidP="008F4BEF">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 Comments</w:t>
    </w:r>
    <w:r w:rsidRPr="005E2416">
      <w:rPr>
        <w:rFonts w:ascii="ITC Avant Garde Gothic Demi" w:hAnsi="ITC Avant Garde Gothic Demi"/>
        <w:color w:val="03653F"/>
      </w:rPr>
      <w:tab/>
    </w:r>
    <w:r>
      <w:rPr>
        <w:rFonts w:ascii="ITC Avant Garde Gothic Demi" w:hAnsi="ITC Avant Garde Gothic Demi"/>
        <w:color w:val="03653F"/>
      </w:rPr>
      <w:t>May 2015</w:t>
    </w:r>
    <w:r w:rsidRPr="005E2416">
      <w:rPr>
        <w:rFonts w:ascii="ITC Avant Garde Gothic Demi" w:hAnsi="ITC Avant Garde Gothic Demi"/>
        <w:color w:val="03653F"/>
      </w:rPr>
      <w:tab/>
      <w:t xml:space="preserve">Page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sidR="003718DC">
      <w:rPr>
        <w:rFonts w:ascii="ITC Avant Garde Gothic Demi" w:hAnsi="ITC Avant Garde Gothic Demi"/>
        <w:noProof/>
        <w:color w:val="03653F"/>
      </w:rPr>
      <w:t>14</w:t>
    </w:r>
    <w:r w:rsidRPr="005E2416">
      <w:rPr>
        <w:rFonts w:ascii="ITC Avant Garde Gothic Demi" w:hAnsi="ITC Avant Garde Gothic Demi"/>
        <w:color w:val="03653F"/>
      </w:rPr>
      <w:fldChar w:fldCharType="end"/>
    </w:r>
  </w:p>
  <w:p w:rsidR="008F4BEF" w:rsidRDefault="008F4BEF">
    <w:pPr>
      <w:pStyle w:val="Footer"/>
    </w:pPr>
  </w:p>
  <w:p w:rsidR="008F4BEF" w:rsidRDefault="008F4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EF" w:rsidRDefault="008F4BEF" w:rsidP="00B72C70">
    <w:pPr>
      <w:pStyle w:val="Footer"/>
      <w:tabs>
        <w:tab w:val="clear" w:pos="4680"/>
        <w:tab w:val="clear" w:pos="9360"/>
        <w:tab w:val="center" w:pos="5400"/>
        <w:tab w:val="right" w:pos="10800"/>
      </w:tabs>
      <w:rPr>
        <w:rFonts w:ascii="ITC Avant Garde Gothic Demi" w:hAnsi="ITC Avant Garde Gothic Demi"/>
        <w:color w:val="03653F"/>
      </w:rPr>
    </w:pPr>
  </w:p>
  <w:p w:rsidR="008F4BEF" w:rsidRPr="005E2416" w:rsidRDefault="008F4BEF"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 Comments</w:t>
    </w:r>
    <w:r w:rsidRPr="005E2416">
      <w:rPr>
        <w:rFonts w:ascii="ITC Avant Garde Gothic Demi" w:hAnsi="ITC Avant Garde Gothic Demi"/>
        <w:color w:val="03653F"/>
      </w:rPr>
      <w:tab/>
    </w:r>
    <w:r>
      <w:rPr>
        <w:rFonts w:ascii="ITC Avant Garde Gothic Demi" w:hAnsi="ITC Avant Garde Gothic Demi"/>
        <w:color w:val="03653F"/>
      </w:rPr>
      <w:t>May 2015</w:t>
    </w:r>
    <w:r w:rsidRPr="005E2416">
      <w:rPr>
        <w:rFonts w:ascii="ITC Avant Garde Gothic Demi" w:hAnsi="ITC Avant Garde Gothic Demi"/>
        <w:color w:val="03653F"/>
      </w:rPr>
      <w:tab/>
      <w:t xml:space="preserve">Page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1</w:t>
    </w:r>
    <w:r w:rsidRPr="005E2416">
      <w:rPr>
        <w:rFonts w:ascii="ITC Avant Garde Gothic Demi" w:hAnsi="ITC Avant Garde Gothic Demi"/>
        <w:color w:val="03653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EF" w:rsidRDefault="008F4BEF" w:rsidP="00B72C70">
    <w:pPr>
      <w:pStyle w:val="Footer"/>
      <w:tabs>
        <w:tab w:val="clear" w:pos="4680"/>
        <w:tab w:val="clear" w:pos="9360"/>
        <w:tab w:val="center" w:pos="5400"/>
        <w:tab w:val="right" w:pos="10800"/>
      </w:tabs>
      <w:rPr>
        <w:rFonts w:ascii="ITC Avant Garde Gothic Demi" w:hAnsi="ITC Avant Garde Gothic Demi"/>
        <w:color w:val="03653F"/>
      </w:rPr>
    </w:pPr>
  </w:p>
  <w:p w:rsidR="008F4BEF" w:rsidRPr="005E2416" w:rsidRDefault="008F4BEF"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 Comments</w:t>
    </w:r>
    <w:r w:rsidRPr="005E2416">
      <w:rPr>
        <w:rFonts w:ascii="ITC Avant Garde Gothic Demi" w:hAnsi="ITC Avant Garde Gothic Demi"/>
        <w:color w:val="03653F"/>
      </w:rPr>
      <w:tab/>
    </w:r>
    <w:r>
      <w:rPr>
        <w:rFonts w:ascii="ITC Avant Garde Gothic Demi" w:hAnsi="ITC Avant Garde Gothic Demi"/>
        <w:color w:val="03653F"/>
      </w:rPr>
      <w:t>January 2015</w:t>
    </w:r>
    <w:r w:rsidRPr="005E2416">
      <w:rPr>
        <w:rFonts w:ascii="ITC Avant Garde Gothic Demi" w:hAnsi="ITC Avant Garde Gothic Demi"/>
        <w:color w:val="03653F"/>
      </w:rPr>
      <w:tab/>
      <w:t xml:space="preserve">Page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15</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70" w:rsidRDefault="00123870" w:rsidP="008F4BEF">
      <w:r>
        <w:separator/>
      </w:r>
    </w:p>
  </w:footnote>
  <w:footnote w:type="continuationSeparator" w:id="0">
    <w:p w:rsidR="00123870" w:rsidRDefault="00123870" w:rsidP="008F4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55A"/>
    <w:multiLevelType w:val="hybridMultilevel"/>
    <w:tmpl w:val="6C9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7784"/>
    <w:multiLevelType w:val="hybridMultilevel"/>
    <w:tmpl w:val="A4E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522BD"/>
    <w:multiLevelType w:val="multilevel"/>
    <w:tmpl w:val="D322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71730"/>
    <w:multiLevelType w:val="hybridMultilevel"/>
    <w:tmpl w:val="91BE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41DEE"/>
    <w:multiLevelType w:val="hybridMultilevel"/>
    <w:tmpl w:val="D66C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C26C2"/>
    <w:multiLevelType w:val="multilevel"/>
    <w:tmpl w:val="406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05F01"/>
    <w:multiLevelType w:val="hybridMultilevel"/>
    <w:tmpl w:val="E0EC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9423D"/>
    <w:multiLevelType w:val="multilevel"/>
    <w:tmpl w:val="AA20FAF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8">
    <w:nsid w:val="17432A18"/>
    <w:multiLevelType w:val="hybridMultilevel"/>
    <w:tmpl w:val="3D66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66498"/>
    <w:multiLevelType w:val="hybridMultilevel"/>
    <w:tmpl w:val="DE60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493D77"/>
    <w:multiLevelType w:val="multilevel"/>
    <w:tmpl w:val="5BBEE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BAE07D6"/>
    <w:multiLevelType w:val="multilevel"/>
    <w:tmpl w:val="AC500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A35D0"/>
    <w:multiLevelType w:val="hybridMultilevel"/>
    <w:tmpl w:val="3CA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C14FA"/>
    <w:multiLevelType w:val="hybridMultilevel"/>
    <w:tmpl w:val="E7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E2E8A"/>
    <w:multiLevelType w:val="hybridMultilevel"/>
    <w:tmpl w:val="27C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53BC2"/>
    <w:multiLevelType w:val="hybridMultilevel"/>
    <w:tmpl w:val="8274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32C18"/>
    <w:multiLevelType w:val="hybridMultilevel"/>
    <w:tmpl w:val="87BA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843B9"/>
    <w:multiLevelType w:val="hybridMultilevel"/>
    <w:tmpl w:val="BDE0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D0F63"/>
    <w:multiLevelType w:val="multilevel"/>
    <w:tmpl w:val="06A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F45951"/>
    <w:multiLevelType w:val="hybridMultilevel"/>
    <w:tmpl w:val="7AD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171B7"/>
    <w:multiLevelType w:val="hybridMultilevel"/>
    <w:tmpl w:val="ACB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17E0D"/>
    <w:multiLevelType w:val="hybridMultilevel"/>
    <w:tmpl w:val="1D2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E2F0E"/>
    <w:multiLevelType w:val="hybridMultilevel"/>
    <w:tmpl w:val="D69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530CB1"/>
    <w:multiLevelType w:val="hybridMultilevel"/>
    <w:tmpl w:val="37D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C2E74"/>
    <w:multiLevelType w:val="hybridMultilevel"/>
    <w:tmpl w:val="BE02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D3103"/>
    <w:multiLevelType w:val="multilevel"/>
    <w:tmpl w:val="F224D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C854E8"/>
    <w:multiLevelType w:val="multilevel"/>
    <w:tmpl w:val="1EA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AA6D9A"/>
    <w:multiLevelType w:val="hybridMultilevel"/>
    <w:tmpl w:val="265AB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6621C"/>
    <w:multiLevelType w:val="hybridMultilevel"/>
    <w:tmpl w:val="542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CA0D49"/>
    <w:multiLevelType w:val="hybridMultilevel"/>
    <w:tmpl w:val="9B188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397BAE"/>
    <w:multiLevelType w:val="hybridMultilevel"/>
    <w:tmpl w:val="3360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70286C"/>
    <w:multiLevelType w:val="hybridMultilevel"/>
    <w:tmpl w:val="F2C8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F962AF"/>
    <w:multiLevelType w:val="hybridMultilevel"/>
    <w:tmpl w:val="3BC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E563DA"/>
    <w:multiLevelType w:val="multilevel"/>
    <w:tmpl w:val="D2105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563BB6"/>
    <w:multiLevelType w:val="multilevel"/>
    <w:tmpl w:val="CA000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E778F"/>
    <w:multiLevelType w:val="multilevel"/>
    <w:tmpl w:val="F198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F72497"/>
    <w:multiLevelType w:val="hybridMultilevel"/>
    <w:tmpl w:val="F8C2F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3089B"/>
    <w:multiLevelType w:val="multilevel"/>
    <w:tmpl w:val="BE38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9A2F5A"/>
    <w:multiLevelType w:val="multilevel"/>
    <w:tmpl w:val="BBA8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104661"/>
    <w:multiLevelType w:val="hybridMultilevel"/>
    <w:tmpl w:val="6DF8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3755FA"/>
    <w:multiLevelType w:val="multilevel"/>
    <w:tmpl w:val="1B88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B3693C"/>
    <w:multiLevelType w:val="multilevel"/>
    <w:tmpl w:val="C7BC2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E74278"/>
    <w:multiLevelType w:val="hybridMultilevel"/>
    <w:tmpl w:val="6194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A1565"/>
    <w:multiLevelType w:val="hybridMultilevel"/>
    <w:tmpl w:val="E9C2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55F4F"/>
    <w:multiLevelType w:val="multilevel"/>
    <w:tmpl w:val="67303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D257D5"/>
    <w:multiLevelType w:val="hybridMultilevel"/>
    <w:tmpl w:val="B976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30785B"/>
    <w:multiLevelType w:val="hybridMultilevel"/>
    <w:tmpl w:val="188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864548"/>
    <w:multiLevelType w:val="multilevel"/>
    <w:tmpl w:val="2CC4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E75E9D"/>
    <w:multiLevelType w:val="hybridMultilevel"/>
    <w:tmpl w:val="D7B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7"/>
  </w:num>
  <w:num w:numId="5">
    <w:abstractNumId w:val="19"/>
  </w:num>
  <w:num w:numId="6">
    <w:abstractNumId w:val="22"/>
  </w:num>
  <w:num w:numId="7">
    <w:abstractNumId w:val="29"/>
  </w:num>
  <w:num w:numId="8">
    <w:abstractNumId w:val="1"/>
  </w:num>
  <w:num w:numId="9">
    <w:abstractNumId w:val="28"/>
  </w:num>
  <w:num w:numId="10">
    <w:abstractNumId w:val="0"/>
  </w:num>
  <w:num w:numId="11">
    <w:abstractNumId w:val="8"/>
  </w:num>
  <w:num w:numId="12">
    <w:abstractNumId w:val="24"/>
  </w:num>
  <w:num w:numId="13">
    <w:abstractNumId w:val="4"/>
  </w:num>
  <w:num w:numId="14">
    <w:abstractNumId w:val="15"/>
  </w:num>
  <w:num w:numId="15">
    <w:abstractNumId w:val="26"/>
  </w:num>
  <w:num w:numId="16">
    <w:abstractNumId w:val="42"/>
  </w:num>
  <w:num w:numId="17">
    <w:abstractNumId w:val="45"/>
  </w:num>
  <w:num w:numId="18">
    <w:abstractNumId w:val="34"/>
  </w:num>
  <w:num w:numId="19">
    <w:abstractNumId w:val="12"/>
  </w:num>
  <w:num w:numId="20">
    <w:abstractNumId w:val="35"/>
  </w:num>
  <w:num w:numId="21">
    <w:abstractNumId w:val="9"/>
  </w:num>
  <w:num w:numId="22">
    <w:abstractNumId w:val="17"/>
  </w:num>
  <w:num w:numId="23">
    <w:abstractNumId w:val="13"/>
  </w:num>
  <w:num w:numId="24">
    <w:abstractNumId w:val="18"/>
  </w:num>
  <w:num w:numId="25">
    <w:abstractNumId w:val="43"/>
  </w:num>
  <w:num w:numId="26">
    <w:abstractNumId w:val="11"/>
  </w:num>
  <w:num w:numId="27">
    <w:abstractNumId w:val="46"/>
  </w:num>
  <w:num w:numId="28">
    <w:abstractNumId w:val="31"/>
  </w:num>
  <w:num w:numId="29">
    <w:abstractNumId w:val="47"/>
  </w:num>
  <w:num w:numId="30">
    <w:abstractNumId w:val="49"/>
  </w:num>
  <w:num w:numId="31">
    <w:abstractNumId w:val="44"/>
  </w:num>
  <w:num w:numId="32">
    <w:abstractNumId w:val="32"/>
  </w:num>
  <w:num w:numId="33">
    <w:abstractNumId w:val="14"/>
  </w:num>
  <w:num w:numId="34">
    <w:abstractNumId w:val="23"/>
  </w:num>
  <w:num w:numId="35">
    <w:abstractNumId w:val="48"/>
  </w:num>
  <w:num w:numId="36">
    <w:abstractNumId w:val="27"/>
  </w:num>
  <w:num w:numId="37">
    <w:abstractNumId w:val="38"/>
  </w:num>
  <w:num w:numId="38">
    <w:abstractNumId w:val="5"/>
  </w:num>
  <w:num w:numId="39">
    <w:abstractNumId w:val="2"/>
  </w:num>
  <w:num w:numId="40">
    <w:abstractNumId w:val="30"/>
  </w:num>
  <w:num w:numId="41">
    <w:abstractNumId w:val="37"/>
  </w:num>
  <w:num w:numId="42">
    <w:abstractNumId w:val="40"/>
  </w:num>
  <w:num w:numId="43">
    <w:abstractNumId w:val="20"/>
  </w:num>
  <w:num w:numId="44">
    <w:abstractNumId w:val="6"/>
  </w:num>
  <w:num w:numId="45">
    <w:abstractNumId w:val="39"/>
  </w:num>
  <w:num w:numId="46">
    <w:abstractNumId w:val="36"/>
  </w:num>
  <w:num w:numId="47">
    <w:abstractNumId w:val="41"/>
  </w:num>
  <w:num w:numId="48">
    <w:abstractNumId w:val="25"/>
  </w:num>
  <w:num w:numId="49">
    <w:abstractNumId w:val="2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EF"/>
    <w:rsid w:val="00123870"/>
    <w:rsid w:val="00171E90"/>
    <w:rsid w:val="003718DC"/>
    <w:rsid w:val="008A11FA"/>
    <w:rsid w:val="008C2C8E"/>
    <w:rsid w:val="008F4BEF"/>
    <w:rsid w:val="0092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93421-3D48-4C36-9B82-28975D4E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EF"/>
    <w:pPr>
      <w:spacing w:after="0" w:line="240" w:lineRule="auto"/>
    </w:pPr>
  </w:style>
  <w:style w:type="paragraph" w:styleId="Heading1">
    <w:name w:val="heading 1"/>
    <w:basedOn w:val="Normal"/>
    <w:next w:val="Normal"/>
    <w:link w:val="Heading1Char"/>
    <w:uiPriority w:val="9"/>
    <w:qFormat/>
    <w:rsid w:val="008F4BE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F4BE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F4BE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F4BE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E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F4BE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F4BEF"/>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F4BEF"/>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8F4BEF"/>
    <w:pPr>
      <w:tabs>
        <w:tab w:val="center" w:pos="4680"/>
        <w:tab w:val="right" w:pos="9360"/>
      </w:tabs>
    </w:pPr>
  </w:style>
  <w:style w:type="character" w:customStyle="1" w:styleId="HeaderChar">
    <w:name w:val="Header Char"/>
    <w:basedOn w:val="DefaultParagraphFont"/>
    <w:link w:val="Header"/>
    <w:uiPriority w:val="99"/>
    <w:rsid w:val="008F4BEF"/>
  </w:style>
  <w:style w:type="paragraph" w:styleId="Footer">
    <w:name w:val="footer"/>
    <w:basedOn w:val="Normal"/>
    <w:link w:val="FooterChar"/>
    <w:uiPriority w:val="99"/>
    <w:unhideWhenUsed/>
    <w:rsid w:val="008F4BEF"/>
    <w:pPr>
      <w:tabs>
        <w:tab w:val="center" w:pos="4680"/>
        <w:tab w:val="right" w:pos="9360"/>
      </w:tabs>
    </w:pPr>
  </w:style>
  <w:style w:type="character" w:customStyle="1" w:styleId="FooterChar">
    <w:name w:val="Footer Char"/>
    <w:basedOn w:val="DefaultParagraphFont"/>
    <w:link w:val="Footer"/>
    <w:uiPriority w:val="99"/>
    <w:rsid w:val="008F4BEF"/>
  </w:style>
  <w:style w:type="character" w:styleId="Hyperlink">
    <w:name w:val="Hyperlink"/>
    <w:basedOn w:val="DefaultParagraphFont"/>
    <w:uiPriority w:val="99"/>
    <w:rsid w:val="008F4BEF"/>
    <w:rPr>
      <w:rFonts w:cs="Times New Roman"/>
      <w:color w:val="0000FF"/>
      <w:u w:val="single"/>
    </w:rPr>
  </w:style>
  <w:style w:type="paragraph" w:styleId="NormalWeb">
    <w:name w:val="Normal (Web)"/>
    <w:basedOn w:val="Normal"/>
    <w:uiPriority w:val="99"/>
    <w:rsid w:val="008F4BEF"/>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8F4BEF"/>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8F4B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8F4BEF"/>
    <w:rPr>
      <w:rFonts w:cs="Times New Roman"/>
      <w:vertAlign w:val="superscript"/>
    </w:rPr>
  </w:style>
  <w:style w:type="paragraph" w:styleId="ListParagraph">
    <w:name w:val="List Paragraph"/>
    <w:basedOn w:val="Normal"/>
    <w:uiPriority w:val="34"/>
    <w:qFormat/>
    <w:rsid w:val="008F4BEF"/>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8F4BEF"/>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8F4BEF"/>
    <w:rPr>
      <w:rFonts w:ascii="Arial" w:eastAsia="Times New Roman" w:hAnsi="Arial" w:cs="Arial"/>
      <w:b/>
      <w:color w:val="FF0000"/>
      <w:sz w:val="40"/>
      <w:szCs w:val="40"/>
    </w:rPr>
  </w:style>
  <w:style w:type="paragraph" w:customStyle="1" w:styleId="CCTOCHeading">
    <w:name w:val="CC TOC Heading"/>
    <w:basedOn w:val="NormalWeb"/>
    <w:qFormat/>
    <w:rsid w:val="008F4BEF"/>
    <w:pPr>
      <w:spacing w:before="0" w:beforeAutospacing="0" w:after="360" w:afterAutospacing="0"/>
    </w:pPr>
    <w:rPr>
      <w:rFonts w:ascii="ITC Avant Garde Gothic Demi" w:hAnsi="ITC Avant Garde Gothic Demi" w:cs="Arial"/>
      <w:b/>
      <w:color w:val="03653F"/>
      <w:sz w:val="40"/>
      <w:szCs w:val="40"/>
    </w:rPr>
  </w:style>
  <w:style w:type="paragraph" w:customStyle="1" w:styleId="CCAgencyHeading">
    <w:name w:val="CC Agency Heading"/>
    <w:basedOn w:val="Heading"/>
    <w:qFormat/>
    <w:rsid w:val="008F4BEF"/>
    <w:pPr>
      <w:spacing w:before="240" w:after="240"/>
    </w:pPr>
    <w:rPr>
      <w:rFonts w:ascii="ITC Avant Garde Gothic" w:hAnsi="ITC Avant Garde Gothic"/>
      <w:color w:val="03653F"/>
      <w:sz w:val="36"/>
      <w:szCs w:val="36"/>
    </w:rPr>
  </w:style>
  <w:style w:type="paragraph" w:customStyle="1" w:styleId="CCIssuance">
    <w:name w:val="CC Issuance"/>
    <w:basedOn w:val="Heading"/>
    <w:rsid w:val="008F4BEF"/>
    <w:pPr>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8F4BEF"/>
    <w:pPr>
      <w:spacing w:after="120"/>
    </w:pPr>
    <w:rPr>
      <w:rFonts w:ascii="Calibri Light" w:hAnsi="Calibri Light"/>
      <w:b w:val="0"/>
      <w:color w:val="auto"/>
      <w:sz w:val="22"/>
      <w:szCs w:val="22"/>
    </w:rPr>
  </w:style>
  <w:style w:type="paragraph" w:customStyle="1" w:styleId="CCComment">
    <w:name w:val="CC Comment"/>
    <w:basedOn w:val="Normal"/>
    <w:qFormat/>
    <w:rsid w:val="008F4BEF"/>
    <w:pPr>
      <w:spacing w:after="120"/>
    </w:pPr>
    <w:rPr>
      <w:rFonts w:ascii="Calibri Light" w:hAnsi="Calibri Light" w:cs="Arial"/>
      <w:b/>
      <w:i/>
      <w:color w:val="03653F"/>
    </w:rPr>
  </w:style>
  <w:style w:type="paragraph" w:customStyle="1" w:styleId="CCBullet">
    <w:name w:val="CC Bullet"/>
    <w:basedOn w:val="ListParagraph"/>
    <w:qFormat/>
    <w:rsid w:val="008F4BEF"/>
    <w:pPr>
      <w:numPr>
        <w:numId w:val="1"/>
      </w:numPr>
    </w:pPr>
    <w:rPr>
      <w:rFonts w:ascii="Calibri Light" w:hAnsi="Calibri Light"/>
      <w:sz w:val="22"/>
      <w:szCs w:val="22"/>
    </w:rPr>
  </w:style>
  <w:style w:type="paragraph" w:styleId="TOC1">
    <w:name w:val="toc 1"/>
    <w:basedOn w:val="Normal"/>
    <w:next w:val="Normal"/>
    <w:autoRedefine/>
    <w:uiPriority w:val="39"/>
    <w:unhideWhenUsed/>
    <w:qFormat/>
    <w:rsid w:val="008F4BEF"/>
    <w:pPr>
      <w:tabs>
        <w:tab w:val="right" w:pos="4950"/>
        <w:tab w:val="right" w:leader="dot" w:pos="10790"/>
      </w:tabs>
      <w:spacing w:after="100"/>
    </w:pPr>
  </w:style>
  <w:style w:type="paragraph" w:styleId="BalloonText">
    <w:name w:val="Balloon Text"/>
    <w:basedOn w:val="Normal"/>
    <w:link w:val="BalloonTextChar"/>
    <w:uiPriority w:val="99"/>
    <w:semiHidden/>
    <w:unhideWhenUsed/>
    <w:rsid w:val="008F4BEF"/>
    <w:rPr>
      <w:rFonts w:ascii="Tahoma" w:hAnsi="Tahoma" w:cs="Tahoma"/>
      <w:sz w:val="16"/>
      <w:szCs w:val="16"/>
    </w:rPr>
  </w:style>
  <w:style w:type="character" w:customStyle="1" w:styleId="BalloonTextChar">
    <w:name w:val="Balloon Text Char"/>
    <w:basedOn w:val="DefaultParagraphFont"/>
    <w:link w:val="BalloonText"/>
    <w:uiPriority w:val="99"/>
    <w:semiHidden/>
    <w:rsid w:val="008F4BEF"/>
    <w:rPr>
      <w:rFonts w:ascii="Tahoma" w:hAnsi="Tahoma" w:cs="Tahoma"/>
      <w:sz w:val="16"/>
      <w:szCs w:val="16"/>
    </w:rPr>
  </w:style>
  <w:style w:type="character" w:customStyle="1" w:styleId="apple-converted-space">
    <w:name w:val="apple-converted-space"/>
    <w:basedOn w:val="DefaultParagraphFont"/>
    <w:rsid w:val="008F4BEF"/>
  </w:style>
  <w:style w:type="character" w:customStyle="1" w:styleId="date-display-single">
    <w:name w:val="date-display-single"/>
    <w:basedOn w:val="DefaultParagraphFont"/>
    <w:rsid w:val="008F4BEF"/>
  </w:style>
  <w:style w:type="character" w:customStyle="1" w:styleId="date-display-start">
    <w:name w:val="date-display-start"/>
    <w:basedOn w:val="DefaultParagraphFont"/>
    <w:rsid w:val="008F4BEF"/>
  </w:style>
  <w:style w:type="character" w:customStyle="1" w:styleId="date-display-end">
    <w:name w:val="date-display-end"/>
    <w:basedOn w:val="DefaultParagraphFont"/>
    <w:rsid w:val="008F4BEF"/>
  </w:style>
  <w:style w:type="character" w:styleId="FollowedHyperlink">
    <w:name w:val="FollowedHyperlink"/>
    <w:basedOn w:val="DefaultParagraphFont"/>
    <w:uiPriority w:val="99"/>
    <w:semiHidden/>
    <w:unhideWhenUsed/>
    <w:rsid w:val="008F4BEF"/>
    <w:rPr>
      <w:color w:val="954F72" w:themeColor="followedHyperlink"/>
      <w:u w:val="single"/>
    </w:rPr>
  </w:style>
  <w:style w:type="paragraph" w:styleId="TOCHeading">
    <w:name w:val="TOC Heading"/>
    <w:basedOn w:val="Heading1"/>
    <w:next w:val="Normal"/>
    <w:uiPriority w:val="39"/>
    <w:semiHidden/>
    <w:unhideWhenUsed/>
    <w:qFormat/>
    <w:rsid w:val="008F4BEF"/>
    <w:pPr>
      <w:spacing w:line="276" w:lineRule="auto"/>
      <w:outlineLvl w:val="9"/>
    </w:pPr>
  </w:style>
  <w:style w:type="paragraph" w:styleId="TOC2">
    <w:name w:val="toc 2"/>
    <w:basedOn w:val="Normal"/>
    <w:next w:val="Normal"/>
    <w:autoRedefine/>
    <w:uiPriority w:val="39"/>
    <w:semiHidden/>
    <w:unhideWhenUsed/>
    <w:qFormat/>
    <w:rsid w:val="008F4BEF"/>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8F4BEF"/>
    <w:pPr>
      <w:spacing w:after="100" w:line="276" w:lineRule="auto"/>
      <w:ind w:left="440"/>
    </w:pPr>
    <w:rPr>
      <w:rFonts w:eastAsiaTheme="minorEastAsia"/>
    </w:rPr>
  </w:style>
  <w:style w:type="character" w:styleId="Emphasis">
    <w:name w:val="Emphasis"/>
    <w:basedOn w:val="DefaultParagraphFont"/>
    <w:uiPriority w:val="20"/>
    <w:qFormat/>
    <w:rsid w:val="008F4BEF"/>
    <w:rPr>
      <w:i/>
      <w:iCs/>
    </w:rPr>
  </w:style>
  <w:style w:type="character" w:customStyle="1" w:styleId="e2ma-style">
    <w:name w:val="e2ma-style"/>
    <w:basedOn w:val="DefaultParagraphFont"/>
    <w:rsid w:val="008F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merfinance.gov/blog/millions-of-consumers-will-now-have-access-to-credit-scores-and-reports-through-nonprofit-counselors/" TargetMode="External"/><Relationship Id="rId117" Type="http://schemas.openxmlformats.org/officeDocument/2006/relationships/hyperlink" Target="http://www.hud.gov" TargetMode="External"/><Relationship Id="rId21" Type="http://schemas.openxmlformats.org/officeDocument/2006/relationships/hyperlink" Target="http://www.consumerfinance.gov/blog/consumer-advisory-youve-got-options-when-it-comes-to-overdraft/" TargetMode="External"/><Relationship Id="rId42" Type="http://schemas.openxmlformats.org/officeDocument/2006/relationships/hyperlink" Target="https://www.fdic.gov/news/news/press/2015/pr15035.html" TargetMode="External"/><Relationship Id="rId47" Type="http://schemas.openxmlformats.org/officeDocument/2006/relationships/hyperlink" Target="http://www.occ.gov/news-issuances/bulletins/2015/bulletin-2015-27c.pdf" TargetMode="External"/><Relationship Id="rId63" Type="http://schemas.openxmlformats.org/officeDocument/2006/relationships/hyperlink" Target="https://t.e2ma.net/click/c4phl/oh8lf/804nwd" TargetMode="External"/><Relationship Id="rId68" Type="http://schemas.openxmlformats.org/officeDocument/2006/relationships/hyperlink" Target="https://www.frbservices.org/fedfocus/archive_events_education/events_education_0515_01.html" TargetMode="External"/><Relationship Id="rId84" Type="http://schemas.openxmlformats.org/officeDocument/2006/relationships/hyperlink" Target="http://portal.hud.gov/hudportal/documents/huddoc?id=92070.pdf" TargetMode="External"/><Relationship Id="rId89" Type="http://schemas.openxmlformats.org/officeDocument/2006/relationships/hyperlink" Target="http://www.treasury.gov/resource-center/tax-policy/treaties/Pages/FATCA-Archive.aspx" TargetMode="External"/><Relationship Id="rId112" Type="http://schemas.openxmlformats.org/officeDocument/2006/relationships/hyperlink" Target="http://harpprogram.org/" TargetMode="External"/><Relationship Id="rId133" Type="http://schemas.openxmlformats.org/officeDocument/2006/relationships/hyperlink" Target="http://www.fincen.gov/forms/bsa_forms/" TargetMode="External"/><Relationship Id="rId138" Type="http://schemas.openxmlformats.org/officeDocument/2006/relationships/theme" Target="theme/theme1.xml"/><Relationship Id="rId16" Type="http://schemas.openxmlformats.org/officeDocument/2006/relationships/hyperlink" Target="http://www.consumerfinance.gov/blog/live-from-milwaukee/" TargetMode="External"/><Relationship Id="rId107" Type="http://schemas.openxmlformats.org/officeDocument/2006/relationships/hyperlink" Target="https://www.federalregister.gov/" TargetMode="External"/><Relationship Id="rId11" Type="http://schemas.openxmlformats.org/officeDocument/2006/relationships/hyperlink" Target="http://www.ffiec.gov/cra/pdf/2015_CRA_Guide.pdf" TargetMode="External"/><Relationship Id="rId32" Type="http://schemas.openxmlformats.org/officeDocument/2006/relationships/hyperlink" Target="http://www.experian.com/consumer-products/vantage-score.html" TargetMode="External"/><Relationship Id="rId37" Type="http://schemas.openxmlformats.org/officeDocument/2006/relationships/hyperlink" Target="http://www.consumerfinance.gov/paying-for-college/repay-student-debt/" TargetMode="External"/><Relationship Id="rId53" Type="http://schemas.openxmlformats.org/officeDocument/2006/relationships/hyperlink" Target="https://www.frbservices.org/files/communications/pdf/treasury/042115-green-book-update.pdf" TargetMode="External"/><Relationship Id="rId58" Type="http://schemas.openxmlformats.org/officeDocument/2006/relationships/hyperlink" Target="file:///C:\Users\Carolyn\AppData\Local\Microsoft\Windows\Temporary%20Internet%20Files\Content.Outlook\C40DP5IA\Robodeldentidad.gov" TargetMode="External"/><Relationship Id="rId74" Type="http://schemas.openxmlformats.org/officeDocument/2006/relationships/hyperlink" Target="https://www.federalregister.gov/articles/2013/12/31/2013-28210/integrated-mortgage-disclosures-under-the-real-estate-settlement-procedures-act-regulation-x-and-the" TargetMode="External"/><Relationship Id="rId79" Type="http://schemas.openxmlformats.org/officeDocument/2006/relationships/hyperlink" Target="https://www.federalregister.gov/articles/2014/08/15/2014-18838/truth-in-lending-regulation-z-annual-threshold-adjustments-card-act-hoepa-and-atrqm" TargetMode="External"/><Relationship Id="rId102" Type="http://schemas.openxmlformats.org/officeDocument/2006/relationships/hyperlink" Target="http://www.fema.gov" TargetMode="External"/><Relationship Id="rId123" Type="http://schemas.openxmlformats.org/officeDocument/2006/relationships/hyperlink" Target="http://www.occ.gov/topics/credit/commercial-credit/other-real-estate-owned.html" TargetMode="External"/><Relationship Id="rId128" Type="http://schemas.openxmlformats.org/officeDocument/2006/relationships/hyperlink" Target="http://www.ecfr.gov/cgi-bin/text-idx?c=ecfr&amp;tpl=/ecfrbrowse/Title12/12cfr1007_main_02.tpl"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hyperlink" Target="http://www.ffiec.gov/cra/" TargetMode="External"/><Relationship Id="rId14" Type="http://schemas.openxmlformats.org/officeDocument/2006/relationships/hyperlink" Target="http://www.consumerfinance.gov/blog/consumer-advisory-fact-check-your-specialty-consumer-report/" TargetMode="External"/><Relationship Id="rId22" Type="http://schemas.openxmlformats.org/officeDocument/2006/relationships/hyperlink" Target="http://files.consumerfinance.gov/f/201504_cfpb_consumer-advisory_overdraft.pdf" TargetMode="External"/><Relationship Id="rId27" Type="http://schemas.openxmlformats.org/officeDocument/2006/relationships/hyperlink" Target="http://www.consumerfinance.gov/blog/" TargetMode="External"/><Relationship Id="rId30" Type="http://schemas.openxmlformats.org/officeDocument/2006/relationships/hyperlink" Target="http://files.consumerfinance.gov/f/201505_cfpb_data-point-credit-invisibles.pdf" TargetMode="External"/><Relationship Id="rId35" Type="http://schemas.openxmlformats.org/officeDocument/2006/relationships/hyperlink" Target="http://www.consumerfinance.gov/newsroom/prepared-remarks-of-cfpb-director-richard-cordray-at-the-field-hearing-on-student-loans/" TargetMode="External"/><Relationship Id="rId43" Type="http://schemas.openxmlformats.org/officeDocument/2006/relationships/hyperlink" Target="http://www.occ.gov/news-issuances/news-releases/2015/nr-occ-2015-63.html" TargetMode="External"/><Relationship Id="rId48" Type="http://schemas.openxmlformats.org/officeDocument/2006/relationships/hyperlink" Target="http://www.occ.gov/news-issuances/bulletins/2015/bulletin-2015-27d.pdf" TargetMode="External"/><Relationship Id="rId56" Type="http://schemas.openxmlformats.org/officeDocument/2006/relationships/hyperlink" Target="http://kxan.com/2015/02/04/bank-jugging-crime-makes-way-from-houston-to-austin/" TargetMode="External"/><Relationship Id="rId64" Type="http://schemas.openxmlformats.org/officeDocument/2006/relationships/hyperlink" Target="https://t.e2ma.net/click/c4phl/oh8lf/ot5nwd" TargetMode="External"/><Relationship Id="rId69" Type="http://schemas.openxmlformats.org/officeDocument/2006/relationships/hyperlink" Target="https://www.frbservices.org/fedflash/" TargetMode="External"/><Relationship Id="rId77" Type="http://schemas.openxmlformats.org/officeDocument/2006/relationships/hyperlink" Target="http://www.gpo.gov/fdsys/pkg/FR-2015-04-15/pdf/2015-08513.pdf" TargetMode="External"/><Relationship Id="rId100" Type="http://schemas.openxmlformats.org/officeDocument/2006/relationships/hyperlink" Target="https://www.fdic.gov/" TargetMode="External"/><Relationship Id="rId105" Type="http://schemas.openxmlformats.org/officeDocument/2006/relationships/hyperlink" Target="http://portal.hud.gov/hudportal/HUD?src=/federal_housing_administration" TargetMode="External"/><Relationship Id="rId113" Type="http://schemas.openxmlformats.org/officeDocument/2006/relationships/hyperlink" Target="http://www.makinghomeaffordable.gov/programs/lower-payments/Pages/hamp.aspx" TargetMode="External"/><Relationship Id="rId118" Type="http://schemas.openxmlformats.org/officeDocument/2006/relationships/hyperlink" Target="vhttp://www.irs.gov/" TargetMode="External"/><Relationship Id="rId126" Type="http://schemas.openxmlformats.org/officeDocument/2006/relationships/hyperlink" Target="http://www.ecfr.gov/cgi-bin/text-idx?c=ecfr&amp;SID=9cab7962ab7aa3e468e911638c817e0b&amp;rgn=div5&amp;view=text&amp;node=12:8.0.2.14.19&amp;idno=12" TargetMode="External"/><Relationship Id="rId134" Type="http://schemas.openxmlformats.org/officeDocument/2006/relationships/hyperlink" Target="http://www.law.cornell.edu/uscode/text/15/chapter-41" TargetMode="External"/><Relationship Id="rId8" Type="http://schemas.openxmlformats.org/officeDocument/2006/relationships/image" Target="media/image1.png"/><Relationship Id="rId51" Type="http://schemas.openxmlformats.org/officeDocument/2006/relationships/hyperlink" Target="http://www.federalreserve.gov/paymentsystems/regii-average-interchange-fee.htm" TargetMode="External"/><Relationship Id="rId72" Type="http://schemas.openxmlformats.org/officeDocument/2006/relationships/hyperlink" Target="https://www.federalregister.gov/articles/2013/12/31/2013-28210/integrated-mortgage-disclosures-under-the-real-estate-settlement-procedures-act-regulation-x-and-the" TargetMode="External"/><Relationship Id="rId80" Type="http://schemas.openxmlformats.org/officeDocument/2006/relationships/hyperlink" Target="https://www.federalregister.gov/articles/2014/12/29/2014-30405/truth-in-lending-act-regulation-z-adjustment-to-asset-size-exemption-threshold" TargetMode="External"/><Relationship Id="rId85" Type="http://schemas.openxmlformats.org/officeDocument/2006/relationships/hyperlink" Target="https://www.federalregister.gov/articles/2014/09/18/2014-20681/electronic-fund-transfers-regulation-e" TargetMode="External"/><Relationship Id="rId93" Type="http://schemas.openxmlformats.org/officeDocument/2006/relationships/hyperlink" Target="http://www.consumerfinance.gov/" TargetMode="External"/><Relationship Id="rId98" Type="http://schemas.openxmlformats.org/officeDocument/2006/relationships/hyperlink" Target="http://www.law.cornell.edu/topn/dodd-frank_wall_street_reform_and_consumer_protection_act" TargetMode="External"/><Relationship Id="rId121" Type="http://schemas.openxmlformats.org/officeDocument/2006/relationships/hyperlink" Target="http://www.occ.gov/" TargetMode="External"/><Relationship Id="rId3" Type="http://schemas.openxmlformats.org/officeDocument/2006/relationships/styles" Target="styles.xml"/><Relationship Id="rId12" Type="http://schemas.openxmlformats.org/officeDocument/2006/relationships/hyperlink" Target="https://www.dallasfed.org/assets/documents/cd/pubs/craloan.pdf" TargetMode="External"/><Relationship Id="rId17" Type="http://schemas.openxmlformats.org/officeDocument/2006/relationships/hyperlink" Target="http://www.consumerfinance.gov/blog/tell-us-about-your-student-debt-stress/" TargetMode="External"/><Relationship Id="rId25" Type="http://schemas.openxmlformats.org/officeDocument/2006/relationships/hyperlink" Target="http://www.consumerfinance.gov/your-money-your-goals/" TargetMode="External"/><Relationship Id="rId33" Type="http://schemas.openxmlformats.org/officeDocument/2006/relationships/hyperlink" Target="http://files.consumerfinance.gov/f/201505_cfpb_bulletin-section-8-housing-choice-voucher-homeownership-program.pdf" TargetMode="External"/><Relationship Id="rId38" Type="http://schemas.openxmlformats.org/officeDocument/2006/relationships/hyperlink" Target="http://www.consumerfinance.gov/complaint/" TargetMode="External"/><Relationship Id="rId46" Type="http://schemas.openxmlformats.org/officeDocument/2006/relationships/hyperlink" Target="http://www.occ.gov/news-issuances/bulletins/2015/bulletin-2015-27b.pdf" TargetMode="External"/><Relationship Id="rId59" Type="http://schemas.openxmlformats.org/officeDocument/2006/relationships/hyperlink" Target="https://www.ftc.gov/news-events/press-releases/2015/05/ftc-launches-new-resource-identity-theft-victims" TargetMode="External"/><Relationship Id="rId67" Type="http://schemas.openxmlformats.org/officeDocument/2006/relationships/hyperlink" Target="https://www.frbservices.org/fedfocus/archive_perspective/perspective_0515_01.html" TargetMode="External"/><Relationship Id="rId103" Type="http://schemas.openxmlformats.org/officeDocument/2006/relationships/hyperlink" Target="http://www.ffiec.gov/" TargetMode="External"/><Relationship Id="rId108" Type="http://schemas.openxmlformats.org/officeDocument/2006/relationships/hyperlink" Target="http://www.federalreserve.gov/" TargetMode="External"/><Relationship Id="rId116" Type="http://schemas.openxmlformats.org/officeDocument/2006/relationships/hyperlink" Target="http://www.ecfr.gov/cgi-bin/text-idx?c=ecfr&amp;SID=9cab7962ab7aa3e468e911638c817e0b&amp;rgn=div5&amp;view=text&amp;node=12:8.0.2.14.18&amp;idno=12" TargetMode="External"/><Relationship Id="rId124" Type="http://schemas.openxmlformats.org/officeDocument/2006/relationships/hyperlink" Target="http://www.ecfr.gov/cgi-bin/text-idx?c=ecfr&amp;SID=9cab7962ab7aa3e468e911638c817e0b&amp;rgn=div5&amp;view=text&amp;node=12:8.0.2.14.1&amp;idno=12" TargetMode="External"/><Relationship Id="rId129" Type="http://schemas.openxmlformats.org/officeDocument/2006/relationships/hyperlink" Target="http://www.ecfr.gov/cgi-bin/text-idx?c=ecfr&amp;SID=9cab7962ab7aa3e468e911638c817e0b&amp;rgn=div5&amp;view=text&amp;node=12:8.0.2.14.15&amp;idno=12" TargetMode="External"/><Relationship Id="rId137" Type="http://schemas.openxmlformats.org/officeDocument/2006/relationships/fontTable" Target="fontTable.xml"/><Relationship Id="rId20" Type="http://schemas.openxmlformats.org/officeDocument/2006/relationships/hyperlink" Target="http://www.consumerfinance.gov/blog/were-making-progress-toward-ensuring-fair-access-to-credit/" TargetMode="External"/><Relationship Id="rId41" Type="http://schemas.openxmlformats.org/officeDocument/2006/relationships/hyperlink" Target="https://www.fdic.gov/news/news/financial/2015/fil15018.pdf" TargetMode="External"/><Relationship Id="rId54" Type="http://schemas.openxmlformats.org/officeDocument/2006/relationships/hyperlink" Target="https://www.fdic.gov/news/news/financial/2015/fil15020.pdf" TargetMode="External"/><Relationship Id="rId62" Type="http://schemas.openxmlformats.org/officeDocument/2006/relationships/hyperlink" Target="https://t.e2ma.net/click/c4phl/oh8lf/s83nwd" TargetMode="External"/><Relationship Id="rId70" Type="http://schemas.openxmlformats.org/officeDocument/2006/relationships/hyperlink" Target="http://portal.hud.gov/hudportal/HUD?src=/press/press_releases_media_advisories/2015/HUDNo_15-060" TargetMode="External"/><Relationship Id="rId75" Type="http://schemas.openxmlformats.org/officeDocument/2006/relationships/hyperlink" Target="https://www.federalregister.gov/articles/2015/02/19/2015-01321/amendments-to-the-2013-integrated-mortgage-disclosures-rule-under-the-real-estate-settlement" TargetMode="External"/><Relationship Id="rId83" Type="http://schemas.openxmlformats.org/officeDocument/2006/relationships/hyperlink" Target="http://www.fdic.gov/regulations/capital" TargetMode="External"/><Relationship Id="rId88" Type="http://schemas.openxmlformats.org/officeDocument/2006/relationships/hyperlink" Target="http://www.treasury.gov/resource-center/tax-policy/treaties/Pages/FATCA.aspx" TargetMode="External"/><Relationship Id="rId91" Type="http://schemas.openxmlformats.org/officeDocument/2006/relationships/footer" Target="footer2.xml"/><Relationship Id="rId96" Type="http://schemas.openxmlformats.org/officeDocument/2006/relationships/hyperlink" Target="http://www.csbs.org/Pages/default.aspx" TargetMode="External"/><Relationship Id="rId111" Type="http://schemas.openxmlformats.org/officeDocument/2006/relationships/hyperlink" Target="http://www.gao.gov" TargetMode="External"/><Relationship Id="rId132" Type="http://schemas.openxmlformats.org/officeDocument/2006/relationships/hyperlink" Target="http://portal.hud.gov/hudportal/HUD?src=/program_offices/housing/rmra/res/respa_h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iles.consumerfinance.gov/f/201505_cfpb-consumer-advisory-fact-check-your-specialty-consumer-report.pdf" TargetMode="External"/><Relationship Id="rId23" Type="http://schemas.openxmlformats.org/officeDocument/2006/relationships/hyperlink" Target="http://www.consumerfinance.gov/blog/heres-what-were-hearing-from-servicemembers-and-their-families/" TargetMode="External"/><Relationship Id="rId28" Type="http://schemas.openxmlformats.org/officeDocument/2006/relationships/hyperlink" Target="http://www.consumerfinance.gov/newsroom/cfpb-fines-regions-bank-7-5-million-for-unlawful-overdraft-practices/" TargetMode="External"/><Relationship Id="rId36" Type="http://schemas.openxmlformats.org/officeDocument/2006/relationships/hyperlink" Target="http://www.consumerfinance.gov/students/request-for-information-on-student-loan-servicing/" TargetMode="External"/><Relationship Id="rId49" Type="http://schemas.openxmlformats.org/officeDocument/2006/relationships/hyperlink" Target="http://www.occ.gov/publications/publications-by-type/other-publications-reports/cdi-newsletter/small-multifamily-rental-spring-2015/small-multifamily-rental-ezine-table-of-contents.html" TargetMode="External"/><Relationship Id="rId57" Type="http://schemas.openxmlformats.org/officeDocument/2006/relationships/hyperlink" Target="http://www.federalreserve.gov/boarddocs/SnLoanSurvey/201505/default.htm" TargetMode="External"/><Relationship Id="rId106" Type="http://schemas.openxmlformats.org/officeDocument/2006/relationships/hyperlink" Target="http://www.fincen.gov" TargetMode="External"/><Relationship Id="rId114" Type="http://schemas.openxmlformats.org/officeDocument/2006/relationships/hyperlink" Target="http://www.ffiec.gov/hmda/" TargetMode="External"/><Relationship Id="rId119" Type="http://schemas.openxmlformats.org/officeDocument/2006/relationships/hyperlink" Target="http://www.fema.gov/national-flood-insurance-program" TargetMode="External"/><Relationship Id="rId127" Type="http://schemas.openxmlformats.org/officeDocument/2006/relationships/hyperlink" Target="http://www.ecfr.gov/cgi-bin/text-idx?c=ecfr&amp;SID=9cab7962ab7aa3e468e911638c817e0b&amp;rgn=div5&amp;view=text&amp;node=12:8.0.2.14.4&amp;idno=12" TargetMode="External"/><Relationship Id="rId10" Type="http://schemas.openxmlformats.org/officeDocument/2006/relationships/hyperlink" Target="https://www.fdic.gov/news/news/financial/2015/fil15019.html" TargetMode="External"/><Relationship Id="rId31" Type="http://schemas.openxmlformats.org/officeDocument/2006/relationships/hyperlink" Target="http://www.daveramsey.com/blog/no-credit-score-no-home" TargetMode="External"/><Relationship Id="rId44" Type="http://schemas.openxmlformats.org/officeDocument/2006/relationships/hyperlink" Target="http://www.occ.gov/news-issuances/bulletins/2015/bulletin-2015-27.html" TargetMode="External"/><Relationship Id="rId52" Type="http://schemas.openxmlformats.org/officeDocument/2006/relationships/image" Target="media/image3.jpeg"/><Relationship Id="rId60" Type="http://schemas.openxmlformats.org/officeDocument/2006/relationships/hyperlink" Target="http://www.fbi.gov/chicago/press-releases/2014/twenty-nine-defendants-facing-state-or-federal-charges-for-alleged-roles-in-cracking-cards-schemes-costing-banks-millions-of-dollars" TargetMode="External"/><Relationship Id="rId65" Type="http://schemas.openxmlformats.org/officeDocument/2006/relationships/hyperlink" Target="https://www.frbservices.org/fedfocus/index.html" TargetMode="External"/><Relationship Id="rId73" Type="http://schemas.openxmlformats.org/officeDocument/2006/relationships/hyperlink" Target="http://www.consumerfinance.gov/blog/a-final-rule-that-makes-mortgage-disclosure-better-for-consumers/" TargetMode="External"/><Relationship Id="rId78" Type="http://schemas.openxmlformats.org/officeDocument/2006/relationships/hyperlink" Target="https://www.federalregister.gov/articles/2014/12/24/2014-29256/credit-risk-retention" TargetMode="External"/><Relationship Id="rId81" Type="http://schemas.openxmlformats.org/officeDocument/2006/relationships/hyperlink" Target="https://www.federalregister.gov/articles/2014/12/29/2014-30404/home-mortgage-disclosure-regulation-c-adjustment-to-asset-size-exemption-threshold" TargetMode="External"/><Relationship Id="rId86" Type="http://schemas.openxmlformats.org/officeDocument/2006/relationships/hyperlink" Target="https://www.federalregister.gov/articles/2014/10/28/2014-25299/amendment-to-the-annual-privacy-notice-requirement-under-the-gramm-leach-bliley-act-regulation-p" TargetMode="External"/><Relationship Id="rId94" Type="http://schemas.openxmlformats.org/officeDocument/2006/relationships/hyperlink" Target="http://www.gpo.gov/fdsys/browse/collectionCfr.action?collectionCode=CFR" TargetMode="External"/><Relationship Id="rId99" Type="http://schemas.openxmlformats.org/officeDocument/2006/relationships/hyperlink" Target="http://www.justice.gov/" TargetMode="External"/><Relationship Id="rId101" Type="http://schemas.openxmlformats.org/officeDocument/2006/relationships/hyperlink" Target="http://www.fdic.gov/regulations/laws/rules/6500-1350.html" TargetMode="External"/><Relationship Id="rId122" Type="http://schemas.openxmlformats.org/officeDocument/2006/relationships/hyperlink" Target="http://www.treasury.gov/about/organizational-structure/offices/Pages/Office-of-Foreign-Assets-Control.aspx" TargetMode="External"/><Relationship Id="rId130" Type="http://schemas.openxmlformats.org/officeDocument/2006/relationships/hyperlink" Target="http://www.ecfr.gov/cgi-bin/text-idx?c=ecfr&amp;SID=9cab7962ab7aa3e468e911638c817e0b&amp;rgn=div5&amp;view=text&amp;node=12:8.0.2.14.17&amp;idno=12" TargetMode="External"/><Relationship Id="rId135" Type="http://schemas.openxmlformats.org/officeDocument/2006/relationships/hyperlink" Target="http://www.treasury.gov"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www.consumerfinance.gov/blog/the-launch-of-the-cfpb-financial-coaching-initiative/" TargetMode="External"/><Relationship Id="rId18" Type="http://schemas.openxmlformats.org/officeDocument/2006/relationships/hyperlink" Target="http://www.consumerfinance.gov/blog/consumer-advisory-your-benefits-are-protected-from-garnishment/" TargetMode="External"/><Relationship Id="rId39" Type="http://schemas.openxmlformats.org/officeDocument/2006/relationships/hyperlink" Target="http://files.consumerfinance.gov/f/201505_cfpb_consent-order-paypal.pdf" TargetMode="External"/><Relationship Id="rId109" Type="http://schemas.openxmlformats.org/officeDocument/2006/relationships/hyperlink" Target="http://www.treasury.gov/initiatives/fsoc/Pages/home.aspx" TargetMode="External"/><Relationship Id="rId34" Type="http://schemas.openxmlformats.org/officeDocument/2006/relationships/hyperlink" Target="http://www.consumerfinance.gov/newsroom/cfpb-files-suit-against-nationwide-biweekly-for-luring-consumers-with-false-promises-of-mortgage-savings/" TargetMode="External"/><Relationship Id="rId50" Type="http://schemas.openxmlformats.org/officeDocument/2006/relationships/hyperlink" Target="http://www.federalreserve.gov/paymentsystems/regii-faqs.htm" TargetMode="External"/><Relationship Id="rId55" Type="http://schemas.openxmlformats.org/officeDocument/2006/relationships/hyperlink" Target="http://www.click2houston.com/news/crimecrackdown/houston-police-make-160-bank-juggingrelated-arrests/31660952" TargetMode="External"/><Relationship Id="rId76" Type="http://schemas.openxmlformats.org/officeDocument/2006/relationships/hyperlink" Target="http://www.consumerfinance.gov/blog/a-final-rule-that-makes-mortgage-disclosure-better-for-consumers/" TargetMode="External"/><Relationship Id="rId97" Type="http://schemas.openxmlformats.org/officeDocument/2006/relationships/hyperlink" Target="http://www.fincen.gov/forms/bsa_forms/" TargetMode="External"/><Relationship Id="rId104" Type="http://schemas.openxmlformats.org/officeDocument/2006/relationships/hyperlink" Target="http://www.fhfa.gov/" TargetMode="External"/><Relationship Id="rId120" Type="http://schemas.openxmlformats.org/officeDocument/2006/relationships/hyperlink" Target="http://mortgage.nationwidelicensingsystem.org/Pages/default.aspx" TargetMode="External"/><Relationship Id="rId125" Type="http://schemas.openxmlformats.org/officeDocument/2006/relationships/hyperlink" Target="http://www.ecfr.gov/cgi-bin/text-idx?c=ecfr&amp;SID=9cab7962ab7aa3e468e911638c817e0b&amp;rgn=div5&amp;view=text&amp;node=12:8.0.2.14.2&amp;idno=12" TargetMode="External"/><Relationship Id="rId7" Type="http://schemas.openxmlformats.org/officeDocument/2006/relationships/endnotes" Target="endnotes.xml"/><Relationship Id="rId71" Type="http://schemas.openxmlformats.org/officeDocument/2006/relationships/hyperlink" Target="http://www.census.gov/construction/chars/interactive/" TargetMode="External"/><Relationship Id="rId92" Type="http://schemas.openxmlformats.org/officeDocument/2006/relationships/hyperlink" Target="http://www.law.cornell.edu/topn/credit_card_accountability_responsibility_and_disclosure_act_of_2009" TargetMode="External"/><Relationship Id="rId2" Type="http://schemas.openxmlformats.org/officeDocument/2006/relationships/numbering" Target="numbering.xml"/><Relationship Id="rId29" Type="http://schemas.openxmlformats.org/officeDocument/2006/relationships/hyperlink" Target="http://files.consumerfinance.gov/f/201505_cfpb_consent-order-international-land-consultants.pdf" TargetMode="External"/><Relationship Id="rId24" Type="http://schemas.openxmlformats.org/officeDocument/2006/relationships/hyperlink" Target="http://www.consumerfinance.gov/blog/more-financial-empowerment-tools-for-communities/" TargetMode="External"/><Relationship Id="rId40" Type="http://schemas.openxmlformats.org/officeDocument/2006/relationships/hyperlink" Target="http://files.consumerfinance.gov/f/201505_cfpb_complaint-paypal.pdf" TargetMode="External"/><Relationship Id="rId45" Type="http://schemas.openxmlformats.org/officeDocument/2006/relationships/hyperlink" Target="http://www.occ.gov/news-issuances/bulletins/2015/bulletin-2015-27a.pdf" TargetMode="External"/><Relationship Id="rId66" Type="http://schemas.openxmlformats.org/officeDocument/2006/relationships/hyperlink" Target="https://www.frbservices.org/fedfocus/archive_access/access_solutions_0515_01.html" TargetMode="External"/><Relationship Id="rId87" Type="http://schemas.openxmlformats.org/officeDocument/2006/relationships/hyperlink" Target="https://www.federalregister.gov/articles/2014/11/03/2014-25503/amendments-to-the-2013-mortgage-rules-under-the-truth-in-lending-act-regulation-z" TargetMode="External"/><Relationship Id="rId110" Type="http://schemas.openxmlformats.org/officeDocument/2006/relationships/hyperlink" Target="http://www.ftc.gov" TargetMode="External"/><Relationship Id="rId115" Type="http://schemas.openxmlformats.org/officeDocument/2006/relationships/hyperlink" Target="http://www.law.cornell.edu/topn/home_ownership_and_equity_protection_act_of_1994" TargetMode="External"/><Relationship Id="rId131" Type="http://schemas.openxmlformats.org/officeDocument/2006/relationships/hyperlink" Target="http://www.ecfr.gov/cgi-bin/text-idx?c=ecfr&amp;SID=9cab7962ab7aa3e468e911638c817e0b&amp;rgn=div5&amp;view=text&amp;node=12:8.0.2.14.18&amp;idno=12" TargetMode="External"/><Relationship Id="rId136" Type="http://schemas.openxmlformats.org/officeDocument/2006/relationships/footer" Target="footer3.xml"/><Relationship Id="rId61" Type="http://schemas.openxmlformats.org/officeDocument/2006/relationships/hyperlink" Target="http://www.fincen.gov/news_room/rp/sar_by_number.html" TargetMode="External"/><Relationship Id="rId82" Type="http://schemas.openxmlformats.org/officeDocument/2006/relationships/hyperlink" Target="http://www.fdic.gov/news/news/financial/2013/fil13031.html" TargetMode="External"/><Relationship Id="rId19" Type="http://schemas.openxmlformats.org/officeDocument/2006/relationships/hyperlink" Target="http://www.consumerfinance.gov/blog/save-the-date-milwaukee/"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www.consumerfinance.gov/newsroom/cfpb-files-suit-against-nationwide-biweekly-for-luring-consumers-with-false-promises-of-mortgage-savings/" TargetMode="External"/><Relationship Id="rId18" Type="http://schemas.openxmlformats.org/officeDocument/2006/relationships/hyperlink" Target="http://files.consumerfinance.gov/f/201505_cfpb_consent-order-paypal.pdf" TargetMode="External"/><Relationship Id="rId26" Type="http://schemas.openxmlformats.org/officeDocument/2006/relationships/hyperlink" Target="https://www.fdic.gov/news/news/financial/2015/fil15020.pdf" TargetMode="External"/><Relationship Id="rId39" Type="http://schemas.openxmlformats.org/officeDocument/2006/relationships/hyperlink" Target="https://www.federalregister.gov/articles/2013/12/31/2013-28210/integrated-mortgage-disclosures-under-the-real-estate-settlement-procedures-act-regulation-x-and-the" TargetMode="External"/><Relationship Id="rId3" Type="http://schemas.openxmlformats.org/officeDocument/2006/relationships/hyperlink" Target="https://www.dallasfed.org/assets/documents/cd/pubs/craloan.pdf" TargetMode="External"/><Relationship Id="rId21" Type="http://schemas.openxmlformats.org/officeDocument/2006/relationships/hyperlink" Target="https://www.fdic.gov/news/news/press/2015/pr15035.html" TargetMode="External"/><Relationship Id="rId34" Type="http://schemas.openxmlformats.org/officeDocument/2006/relationships/hyperlink" Target="https://t.e2ma.net/click/c4phl/oh8lf/804nwd" TargetMode="External"/><Relationship Id="rId42" Type="http://schemas.openxmlformats.org/officeDocument/2006/relationships/hyperlink" Target="http://www.gpo.gov/fdsys/pkg/FR-2015-04-15/pdf/2015-08513.pdf" TargetMode="External"/><Relationship Id="rId47" Type="http://schemas.openxmlformats.org/officeDocument/2006/relationships/hyperlink" Target="http://www.fdic.gov/news/news/financial/2013/fil13031.html" TargetMode="External"/><Relationship Id="rId50" Type="http://schemas.openxmlformats.org/officeDocument/2006/relationships/hyperlink" Target="https://www.federalregister.gov/articles/2014/10/28/2014-25299/amendment-to-the-annual-privacy-notice-requirement-under-the-gramm-leach-bliley-act-regulation-p" TargetMode="External"/><Relationship Id="rId7" Type="http://schemas.openxmlformats.org/officeDocument/2006/relationships/hyperlink" Target="http://www.consumerfinance.gov/blog/" TargetMode="External"/><Relationship Id="rId12" Type="http://schemas.openxmlformats.org/officeDocument/2006/relationships/hyperlink" Target="http://www.experian.com/consumer-products/vantage-score.html" TargetMode="External"/><Relationship Id="rId17" Type="http://schemas.openxmlformats.org/officeDocument/2006/relationships/hyperlink" Target="http://www.consumerfinance.gov/complaint/" TargetMode="External"/><Relationship Id="rId25" Type="http://schemas.openxmlformats.org/officeDocument/2006/relationships/hyperlink" Target="https://www.frbservices.org/files/communications/pdf/treasury/042115-green-book-update.pdf" TargetMode="External"/><Relationship Id="rId33" Type="http://schemas.openxmlformats.org/officeDocument/2006/relationships/hyperlink" Target="https://t.e2ma.net/click/c4phl/oh8lf/s83nwd" TargetMode="External"/><Relationship Id="rId38" Type="http://schemas.openxmlformats.org/officeDocument/2006/relationships/hyperlink" Target="http://portal.hud.gov/hudportal/HUD?src=/press/press_releases_media_advisories/2015/HUDNo_15-060" TargetMode="External"/><Relationship Id="rId46" Type="http://schemas.openxmlformats.org/officeDocument/2006/relationships/hyperlink" Target="https://www.federalregister.gov/articles/2014/12/29/2014-30404/home-mortgage-disclosure-regulation-c-adjustment-to-asset-size-exemption-threshold" TargetMode="External"/><Relationship Id="rId2" Type="http://schemas.openxmlformats.org/officeDocument/2006/relationships/hyperlink" Target="http://www.ffiec.gov/cra/pdf/2015_CRA_Guide.pdf" TargetMode="External"/><Relationship Id="rId16" Type="http://schemas.openxmlformats.org/officeDocument/2006/relationships/hyperlink" Target="http://www.consumerfinance.gov/paying-for-college/repay-student-debt/" TargetMode="External"/><Relationship Id="rId20" Type="http://schemas.openxmlformats.org/officeDocument/2006/relationships/hyperlink" Target="https://www.fdic.gov/news/news/financial/2015/fil15018.pdf" TargetMode="External"/><Relationship Id="rId29" Type="http://schemas.openxmlformats.org/officeDocument/2006/relationships/hyperlink" Target="http://www.federalreserve.gov/boarddocs/SnLoanSurvey/201505/default.htm" TargetMode="External"/><Relationship Id="rId41" Type="http://schemas.openxmlformats.org/officeDocument/2006/relationships/hyperlink" Target="https://www.federalregister.gov/articles/2015/02/19/2015-01321/amendments-to-the-2013-integrated-mortgage-disclosures-rule-under-the-real-estate-settlement" TargetMode="External"/><Relationship Id="rId1" Type="http://schemas.openxmlformats.org/officeDocument/2006/relationships/hyperlink" Target="https://www.fdic.gov/news/news/financial/2015/fil15019.html" TargetMode="External"/><Relationship Id="rId6" Type="http://schemas.openxmlformats.org/officeDocument/2006/relationships/hyperlink" Target="http://www.consumerfinance.gov/your-money-your-goals/" TargetMode="External"/><Relationship Id="rId11" Type="http://schemas.openxmlformats.org/officeDocument/2006/relationships/hyperlink" Target="http://www.daveramsey.com/blog/no-credit-score-no-home" TargetMode="External"/><Relationship Id="rId24" Type="http://schemas.openxmlformats.org/officeDocument/2006/relationships/hyperlink" Target="http://www.occ.gov/publications/publications-by-type/other-publications-reports/cdi-newsletter/small-multifamily-rental-spring-2015/small-multifamily-rental-ezine-table-of-contents.html" TargetMode="External"/><Relationship Id="rId32" Type="http://schemas.openxmlformats.org/officeDocument/2006/relationships/hyperlink" Target="http://www.fincen.gov/news_room/rp/sar_by_number.html" TargetMode="External"/><Relationship Id="rId37" Type="http://schemas.openxmlformats.org/officeDocument/2006/relationships/hyperlink" Target="https://www.frbservices.org/fedflash/" TargetMode="External"/><Relationship Id="rId40" Type="http://schemas.openxmlformats.org/officeDocument/2006/relationships/hyperlink" Target="https://www.federalregister.gov/articles/2013/12/31/2013-28210/integrated-mortgage-disclosures-under-the-real-estate-settlement-procedures-act-regulation-x-and-the" TargetMode="External"/><Relationship Id="rId45" Type="http://schemas.openxmlformats.org/officeDocument/2006/relationships/hyperlink" Target="https://www.federalregister.gov/articles/2014/12/29/2014-30405/truth-in-lending-act-regulation-z-adjustment-to-asset-size-exemption-threshold" TargetMode="External"/><Relationship Id="rId53" Type="http://schemas.openxmlformats.org/officeDocument/2006/relationships/hyperlink" Target="http://www.treasury.gov/resource-center/tax-policy/treaties/Pages/FATCA-Archive.aspx" TargetMode="External"/><Relationship Id="rId5" Type="http://schemas.openxmlformats.org/officeDocument/2006/relationships/hyperlink" Target="http://files.consumerfinance.gov/f/201504_cfpb_consumer-advisory_overdraft.pdf" TargetMode="External"/><Relationship Id="rId15" Type="http://schemas.openxmlformats.org/officeDocument/2006/relationships/hyperlink" Target="http://www.consumerfinance.gov/students/request-for-information-on-student-loan-servicing/" TargetMode="External"/><Relationship Id="rId23" Type="http://schemas.openxmlformats.org/officeDocument/2006/relationships/hyperlink" Target="http://www.occ.gov/news-issuances/bulletins/2015/bulletin-2015-27.html" TargetMode="External"/><Relationship Id="rId28" Type="http://schemas.openxmlformats.org/officeDocument/2006/relationships/hyperlink" Target="http://kxan.com/2015/02/04/bank-jugging-crime-makes-way-from-houston-to-austin/" TargetMode="External"/><Relationship Id="rId36" Type="http://schemas.openxmlformats.org/officeDocument/2006/relationships/hyperlink" Target="https://www.frbservices.org/fedfocus/index.html" TargetMode="External"/><Relationship Id="rId49" Type="http://schemas.openxmlformats.org/officeDocument/2006/relationships/hyperlink" Target="https://www.federalregister.gov/articles/2014/09/18/2014-20681/electronic-fund-transfers-regulation-e" TargetMode="External"/><Relationship Id="rId10" Type="http://schemas.openxmlformats.org/officeDocument/2006/relationships/hyperlink" Target="http://files.consumerfinance.gov/f/201505_cfpb_data-point-credit-invisibles.pdf" TargetMode="External"/><Relationship Id="rId19" Type="http://schemas.openxmlformats.org/officeDocument/2006/relationships/hyperlink" Target="http://files.consumerfinance.gov/f/201505_cfpb_complaint-paypal.pdf" TargetMode="External"/><Relationship Id="rId31" Type="http://schemas.openxmlformats.org/officeDocument/2006/relationships/hyperlink" Target="http://www.fbi.gov/chicago/press-releases/2014/twenty-nine-defendants-facing-state-or-federal-charges-for-alleged-roles-in-cracking-cards-schemes-costing-banks-millions-of-dollars" TargetMode="External"/><Relationship Id="rId44" Type="http://schemas.openxmlformats.org/officeDocument/2006/relationships/hyperlink" Target="https://www.federalregister.gov/articles/2014/08/15/2014-18838/truth-in-lending-regulation-z-annual-threshold-adjustments-card-act-hoepa-and-atrqm" TargetMode="External"/><Relationship Id="rId52" Type="http://schemas.openxmlformats.org/officeDocument/2006/relationships/hyperlink" Target="http://www.treasury.gov/resource-center/tax-policy/treaties/Pages/FATCA.aspx" TargetMode="External"/><Relationship Id="rId4" Type="http://schemas.openxmlformats.org/officeDocument/2006/relationships/hyperlink" Target="http://files.consumerfinance.gov/f/201505_cfpb-consumer-advisory-fact-check-your-specialty-consumer-report.pdf" TargetMode="External"/><Relationship Id="rId9" Type="http://schemas.openxmlformats.org/officeDocument/2006/relationships/hyperlink" Target="http://files.consumerfinance.gov/f/201505_cfpb_consent-order-international-land-consultants.pdf" TargetMode="External"/><Relationship Id="rId14" Type="http://schemas.openxmlformats.org/officeDocument/2006/relationships/hyperlink" Target="http://www.consumerfinance.gov/newsroom/prepared-remarks-of-cfpb-director-richard-cordray-at-the-field-hearing-on-student-loans/" TargetMode="External"/><Relationship Id="rId22" Type="http://schemas.openxmlformats.org/officeDocument/2006/relationships/hyperlink" Target="http://www.occ.gov/news-issuances/news-releases/2015/nr-occ-2015-63.html" TargetMode="External"/><Relationship Id="rId27" Type="http://schemas.openxmlformats.org/officeDocument/2006/relationships/hyperlink" Target="http://www.click2houston.com/news/crimecrackdown/houston-police-make-160-bank-juggingrelated-arrests/31660952" TargetMode="External"/><Relationship Id="rId30" Type="http://schemas.openxmlformats.org/officeDocument/2006/relationships/hyperlink" Target="https://www.ftc.gov/news-events/press-releases/2015/05/ftc-launches-new-resource-identity-theft-victims" TargetMode="External"/><Relationship Id="rId35" Type="http://schemas.openxmlformats.org/officeDocument/2006/relationships/hyperlink" Target="https://t.e2ma.net/click/c4phl/oh8lf/ot5nwd" TargetMode="External"/><Relationship Id="rId43" Type="http://schemas.openxmlformats.org/officeDocument/2006/relationships/hyperlink" Target="https://www.federalregister.gov/articles/2014/12/24/2014-29256/credit-risk-retention" TargetMode="External"/><Relationship Id="rId48" Type="http://schemas.openxmlformats.org/officeDocument/2006/relationships/hyperlink" Target="http://portal.hud.gov/hudportal/documents/huddoc?id=92070.pdf" TargetMode="External"/><Relationship Id="rId8" Type="http://schemas.openxmlformats.org/officeDocument/2006/relationships/hyperlink" Target="http://www.consumerfinance.gov/newsroom/cfpb-fines-regions-bank-7-5-million-for-unlawful-overdraft-practices/" TargetMode="External"/><Relationship Id="rId51" Type="http://schemas.openxmlformats.org/officeDocument/2006/relationships/hyperlink" Target="https://www.federalregister.gov/articles/2014/11/03/2014-25503/amendments-to-the-2013-mortgage-rules-under-the-truth-in-lending-act-regulati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12ED-2453-4371-A622-A00C37B5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8258</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Phillips</dc:creator>
  <cp:keywords/>
  <dc:description/>
  <cp:lastModifiedBy>Carolyn Bose</cp:lastModifiedBy>
  <cp:revision>2</cp:revision>
  <dcterms:created xsi:type="dcterms:W3CDTF">2015-05-20T19:51:00Z</dcterms:created>
  <dcterms:modified xsi:type="dcterms:W3CDTF">2015-05-20T19:51:00Z</dcterms:modified>
</cp:coreProperties>
</file>