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BA" w:rsidRDefault="005625BA" w:rsidP="00B423C7">
      <w:pPr>
        <w:jc w:val="center"/>
        <w:rPr>
          <w:rFonts w:ascii="Georgia" w:hAnsi="Georgia"/>
          <w:b/>
          <w:color w:val="006600"/>
          <w:sz w:val="48"/>
          <w:szCs w:val="48"/>
        </w:rPr>
      </w:pPr>
      <w:r>
        <w:rPr>
          <w:noProof/>
        </w:rPr>
        <w:drawing>
          <wp:anchor distT="0" distB="2428" distL="114300" distR="114300" simplePos="0" relativeHeight="251659264" behindDoc="1" locked="0" layoutInCell="1" allowOverlap="1" wp14:anchorId="3A5147E2" wp14:editId="5B3F6D5C">
            <wp:simplePos x="0" y="0"/>
            <wp:positionH relativeFrom="margin">
              <wp:align>center</wp:align>
            </wp:positionH>
            <wp:positionV relativeFrom="paragraph">
              <wp:posOffset>-911225</wp:posOffset>
            </wp:positionV>
            <wp:extent cx="7337425" cy="2081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7425" cy="20815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625BA" w:rsidRDefault="005625BA" w:rsidP="00B423C7">
      <w:pPr>
        <w:jc w:val="center"/>
        <w:rPr>
          <w:rFonts w:ascii="Georgia" w:hAnsi="Georgia"/>
          <w:b/>
          <w:color w:val="006600"/>
          <w:sz w:val="48"/>
          <w:szCs w:val="48"/>
        </w:rPr>
      </w:pPr>
    </w:p>
    <w:p w:rsidR="00354ADD" w:rsidRPr="00571A10" w:rsidRDefault="00C35AC5" w:rsidP="00B423C7">
      <w:pPr>
        <w:jc w:val="center"/>
        <w:rPr>
          <w:rFonts w:ascii="Georgia" w:hAnsi="Georgia"/>
          <w:b/>
          <w:color w:val="006600"/>
          <w:sz w:val="48"/>
          <w:szCs w:val="48"/>
        </w:rPr>
      </w:pPr>
      <w:r>
        <w:rPr>
          <w:rFonts w:ascii="Georgia" w:hAnsi="Georgia"/>
          <w:b/>
          <w:color w:val="006600"/>
          <w:sz w:val="48"/>
          <w:szCs w:val="48"/>
        </w:rPr>
        <w:t>Capitol Comments</w:t>
      </w:r>
    </w:p>
    <w:p w:rsidR="00354ADD" w:rsidRPr="00571A10" w:rsidRDefault="00EA036A" w:rsidP="00B423C7">
      <w:pPr>
        <w:jc w:val="center"/>
        <w:rPr>
          <w:rFonts w:ascii="Georgia" w:hAnsi="Georgia"/>
          <w:b/>
          <w:color w:val="006600"/>
          <w:sz w:val="48"/>
          <w:szCs w:val="48"/>
        </w:rPr>
      </w:pPr>
      <w:r w:rsidRPr="000E6A0E">
        <w:rPr>
          <w:rFonts w:ascii="Georgia" w:hAnsi="Georgia"/>
          <w:b/>
          <w:color w:val="006600"/>
          <w:sz w:val="48"/>
          <w:szCs w:val="48"/>
        </w:rPr>
        <w:t>August</w:t>
      </w:r>
      <w:r w:rsidR="000052BC">
        <w:rPr>
          <w:rFonts w:ascii="Georgia" w:hAnsi="Georgia"/>
          <w:b/>
          <w:color w:val="006600"/>
          <w:sz w:val="48"/>
          <w:szCs w:val="48"/>
        </w:rPr>
        <w:t xml:space="preserve"> 2014</w:t>
      </w:r>
    </w:p>
    <w:p w:rsidR="00354ADD" w:rsidRDefault="00354ADD" w:rsidP="005824BA">
      <w:pPr>
        <w:rPr>
          <w:rFonts w:ascii="Arial" w:hAnsi="Arial" w:cs="Arial"/>
          <w:b/>
          <w:color w:val="002060"/>
          <w:sz w:val="16"/>
          <w:szCs w:val="16"/>
        </w:rPr>
      </w:pPr>
    </w:p>
    <w:p w:rsidR="00354ADD" w:rsidRDefault="00354ADD" w:rsidP="005824BA">
      <w:pPr>
        <w:rPr>
          <w:rFonts w:ascii="Arial" w:hAnsi="Arial" w:cs="Arial"/>
          <w:b/>
          <w:color w:val="002060"/>
          <w:sz w:val="16"/>
          <w:szCs w:val="16"/>
        </w:rPr>
      </w:pPr>
    </w:p>
    <w:p w:rsidR="00224EE5" w:rsidRPr="000E6A0E" w:rsidRDefault="006419F3" w:rsidP="00224EE5">
      <w:pPr>
        <w:pStyle w:val="NormalWeb"/>
        <w:rPr>
          <w:rFonts w:ascii="Arial" w:hAnsi="Arial" w:cs="Arial"/>
          <w:b/>
          <w:i/>
          <w:color w:val="FF0000"/>
          <w:sz w:val="40"/>
          <w:szCs w:val="40"/>
        </w:rPr>
      </w:pPr>
      <w:bookmarkStart w:id="0" w:name="_Toc290899689"/>
      <w:bookmarkStart w:id="1" w:name="_Toc290899921"/>
      <w:bookmarkStart w:id="2" w:name="_Toc290973022"/>
      <w:r>
        <w:rPr>
          <w:rFonts w:ascii="Arial" w:hAnsi="Arial" w:cs="Arial"/>
          <w:b/>
          <w:color w:val="FF0000"/>
          <w:sz w:val="40"/>
          <w:szCs w:val="40"/>
        </w:rPr>
        <w:t>A</w:t>
      </w:r>
      <w:r w:rsidR="000E6A0E">
        <w:rPr>
          <w:rFonts w:ascii="Arial" w:hAnsi="Arial" w:cs="Arial"/>
          <w:b/>
          <w:color w:val="FF0000"/>
          <w:sz w:val="40"/>
          <w:szCs w:val="40"/>
        </w:rPr>
        <w:t xml:space="preserve">round the </w:t>
      </w:r>
      <w:r w:rsidR="000E6A0E" w:rsidRPr="000E6A0E">
        <w:rPr>
          <w:rFonts w:ascii="Arial" w:hAnsi="Arial" w:cs="Arial"/>
          <w:b/>
          <w:color w:val="FF0000"/>
          <w:sz w:val="40"/>
          <w:szCs w:val="40"/>
        </w:rPr>
        <w:t>agencies</w:t>
      </w:r>
    </w:p>
    <w:p w:rsidR="00354ADD" w:rsidRDefault="00354ADD" w:rsidP="00CE0A2E">
      <w:pPr>
        <w:pStyle w:val="Heading"/>
        <w:rPr>
          <w:rFonts w:ascii="Georgia" w:hAnsi="Georgia"/>
          <w:i/>
          <w:color w:val="002060"/>
          <w:sz w:val="20"/>
          <w:szCs w:val="20"/>
        </w:rPr>
      </w:pPr>
      <w:r w:rsidRPr="00032E88">
        <w:rPr>
          <w:rFonts w:ascii="Georgia" w:hAnsi="Georgia"/>
          <w:i/>
          <w:color w:val="002060"/>
          <w:sz w:val="20"/>
          <w:szCs w:val="20"/>
        </w:rPr>
        <w:t>When there is a deadline associated with</w:t>
      </w:r>
      <w:r>
        <w:rPr>
          <w:rFonts w:ascii="Georgia" w:hAnsi="Georgia"/>
          <w:i/>
          <w:color w:val="002060"/>
          <w:sz w:val="20"/>
          <w:szCs w:val="20"/>
        </w:rPr>
        <w:t xml:space="preserve"> an</w:t>
      </w:r>
      <w:r w:rsidRPr="00032E88">
        <w:rPr>
          <w:rFonts w:ascii="Georgia" w:hAnsi="Georgia"/>
          <w:i/>
          <w:color w:val="002060"/>
          <w:sz w:val="20"/>
          <w:szCs w:val="20"/>
        </w:rPr>
        <w:t xml:space="preserve"> item, you will see this graphic:</w:t>
      </w:r>
      <w:r w:rsidR="00CE0A2E">
        <w:rPr>
          <w:rFonts w:ascii="Georgia" w:hAnsi="Georgia"/>
          <w:i/>
          <w:color w:val="002060"/>
          <w:sz w:val="20"/>
          <w:szCs w:val="20"/>
        </w:rPr>
        <w:t xml:space="preserve"> </w:t>
      </w:r>
      <w:r w:rsidR="00571A10">
        <w:rPr>
          <w:rFonts w:ascii="Georgia" w:hAnsi="Georgia"/>
          <w:i/>
          <w:noProof/>
          <w:color w:val="002060"/>
          <w:sz w:val="20"/>
          <w:szCs w:val="20"/>
        </w:rPr>
        <w:drawing>
          <wp:inline distT="0" distB="0" distL="0" distR="0">
            <wp:extent cx="275590" cy="220980"/>
            <wp:effectExtent l="0" t="0" r="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p>
    <w:p w:rsidR="00354ADD" w:rsidRDefault="00354ADD" w:rsidP="00E165F1">
      <w:pPr>
        <w:pStyle w:val="Heading"/>
        <w:rPr>
          <w:rFonts w:ascii="Georgia" w:hAnsi="Georgia"/>
          <w:i/>
          <w:color w:val="002060"/>
          <w:sz w:val="20"/>
          <w:szCs w:val="20"/>
        </w:rPr>
      </w:pPr>
    </w:p>
    <w:p w:rsidR="003611CA" w:rsidRDefault="003611CA" w:rsidP="003611CA">
      <w:pPr>
        <w:pStyle w:val="Heading"/>
        <w:rPr>
          <w:b w:val="0"/>
          <w:color w:val="006600"/>
          <w:sz w:val="36"/>
          <w:szCs w:val="36"/>
        </w:rPr>
      </w:pPr>
      <w:bookmarkStart w:id="3" w:name="_Toc290899691"/>
      <w:bookmarkStart w:id="4" w:name="_Toc290899923"/>
      <w:bookmarkStart w:id="5" w:name="_Toc290973024"/>
      <w:bookmarkStart w:id="6" w:name="_Toc290899693"/>
      <w:bookmarkStart w:id="7" w:name="_Toc290899925"/>
      <w:bookmarkStart w:id="8" w:name="_Toc290973026"/>
      <w:bookmarkEnd w:id="0"/>
      <w:bookmarkEnd w:id="1"/>
      <w:bookmarkEnd w:id="2"/>
    </w:p>
    <w:p w:rsidR="000E6A0E" w:rsidRDefault="000E6A0E" w:rsidP="003719DC">
      <w:pPr>
        <w:pStyle w:val="Heading"/>
        <w:rPr>
          <w:rFonts w:ascii="Georgia" w:hAnsi="Georgia"/>
          <w:b w:val="0"/>
          <w:color w:val="auto"/>
          <w:sz w:val="24"/>
          <w:szCs w:val="24"/>
        </w:rPr>
      </w:pPr>
      <w:r w:rsidRPr="000E6A0E">
        <w:rPr>
          <w:b w:val="0"/>
          <w:color w:val="006600"/>
          <w:sz w:val="36"/>
          <w:szCs w:val="36"/>
        </w:rPr>
        <w:t>CFPB</w:t>
      </w:r>
    </w:p>
    <w:p w:rsidR="00677065" w:rsidRDefault="00677065" w:rsidP="00EA036A">
      <w:pPr>
        <w:pStyle w:val="Heading"/>
        <w:rPr>
          <w:color w:val="auto"/>
          <w:sz w:val="24"/>
          <w:szCs w:val="24"/>
        </w:rPr>
      </w:pPr>
    </w:p>
    <w:p w:rsidR="003D3582" w:rsidRPr="00C83D41" w:rsidRDefault="003D3582" w:rsidP="003D3582">
      <w:pPr>
        <w:pStyle w:val="Heading"/>
        <w:rPr>
          <w:color w:val="002060"/>
          <w:sz w:val="24"/>
          <w:szCs w:val="24"/>
        </w:rPr>
      </w:pPr>
      <w:r>
        <w:rPr>
          <w:color w:val="002060"/>
          <w:sz w:val="24"/>
          <w:szCs w:val="24"/>
        </w:rPr>
        <w:t>CFPB consumer advisory on Bitcoin</w:t>
      </w:r>
      <w:r w:rsidRPr="00C83D41">
        <w:rPr>
          <w:color w:val="002060"/>
          <w:sz w:val="24"/>
          <w:szCs w:val="24"/>
        </w:rPr>
        <w:br/>
      </w:r>
    </w:p>
    <w:p w:rsidR="003D3582" w:rsidRDefault="003D3582" w:rsidP="003D3582">
      <w:pPr>
        <w:pStyle w:val="Heading"/>
        <w:rPr>
          <w:rFonts w:ascii="Georgia" w:hAnsi="Georgia"/>
          <w:b w:val="0"/>
          <w:color w:val="auto"/>
          <w:sz w:val="24"/>
          <w:szCs w:val="24"/>
        </w:rPr>
      </w:pPr>
      <w:r>
        <w:rPr>
          <w:rFonts w:ascii="Georgia" w:hAnsi="Georgia"/>
          <w:b w:val="0"/>
          <w:color w:val="auto"/>
          <w:sz w:val="24"/>
          <w:szCs w:val="24"/>
        </w:rPr>
        <w:t>The CFPB</w:t>
      </w:r>
      <w:r w:rsidRPr="003534D9">
        <w:rPr>
          <w:rFonts w:ascii="Georgia" w:hAnsi="Georgia"/>
          <w:b w:val="0"/>
          <w:color w:val="auto"/>
          <w:sz w:val="24"/>
          <w:szCs w:val="24"/>
        </w:rPr>
        <w:t xml:space="preserve"> issued a </w:t>
      </w:r>
      <w:hyperlink r:id="rId10" w:history="1">
        <w:r w:rsidRPr="003534D9">
          <w:rPr>
            <w:rStyle w:val="Hyperlink"/>
            <w:rFonts w:ascii="Georgia" w:hAnsi="Georgia" w:cs="Arial"/>
            <w:b w:val="0"/>
            <w:sz w:val="24"/>
            <w:szCs w:val="24"/>
          </w:rPr>
          <w:t>consumer advisory</w:t>
        </w:r>
      </w:hyperlink>
      <w:r>
        <w:rPr>
          <w:rStyle w:val="EndnoteReference"/>
          <w:rFonts w:ascii="Georgia" w:hAnsi="Georgia"/>
          <w:b w:val="0"/>
          <w:color w:val="auto"/>
          <w:sz w:val="24"/>
          <w:szCs w:val="24"/>
        </w:rPr>
        <w:endnoteReference w:id="1"/>
      </w:r>
      <w:r w:rsidRPr="003534D9">
        <w:rPr>
          <w:rFonts w:ascii="Georgia" w:hAnsi="Georgia"/>
          <w:b w:val="0"/>
          <w:color w:val="auto"/>
          <w:sz w:val="24"/>
          <w:szCs w:val="24"/>
        </w:rPr>
        <w:t xml:space="preserve"> warning consumers about the risks of virtual currencies such as Bitcoin. The CFPB advises consumers to be aware of potential issues with virtual currencies such as unclear costs, volatile exchange rates, the threat of hacking and scams, and that companies may not offer help or refunds for lost or stolen funds. The CFPB also announced that consumers who encounter a problem with a virtual currency product or service can now submit a complaint with the Bureau. </w:t>
      </w:r>
    </w:p>
    <w:p w:rsidR="003D3582" w:rsidRDefault="003D3582" w:rsidP="003D3582">
      <w:pPr>
        <w:pStyle w:val="Heading"/>
        <w:rPr>
          <w:rFonts w:ascii="Georgia" w:hAnsi="Georgia"/>
          <w:b w:val="0"/>
          <w:color w:val="auto"/>
          <w:sz w:val="24"/>
          <w:szCs w:val="24"/>
        </w:rPr>
      </w:pPr>
    </w:p>
    <w:p w:rsidR="003D3582" w:rsidRDefault="003D3582" w:rsidP="003D3582">
      <w:pPr>
        <w:pStyle w:val="Heading"/>
        <w:rPr>
          <w:rFonts w:ascii="Georgia" w:hAnsi="Georgia"/>
          <w:i/>
          <w:color w:val="003366"/>
          <w:sz w:val="20"/>
          <w:szCs w:val="20"/>
        </w:rPr>
      </w:pPr>
      <w:r w:rsidRPr="000930D0">
        <w:rPr>
          <w:rFonts w:ascii="Georgia" w:hAnsi="Georgia"/>
          <w:i/>
          <w:color w:val="003366"/>
          <w:sz w:val="20"/>
          <w:szCs w:val="20"/>
        </w:rPr>
        <w:t>Comment</w:t>
      </w:r>
      <w:r>
        <w:rPr>
          <w:rFonts w:ascii="Georgia" w:hAnsi="Georgia"/>
          <w:i/>
          <w:color w:val="003366"/>
          <w:sz w:val="20"/>
          <w:szCs w:val="20"/>
        </w:rPr>
        <w:t>: The CFPB points out several significant risks to consumers, including: (1) Exchange rate</w:t>
      </w:r>
      <w:r w:rsidR="0044599B">
        <w:rPr>
          <w:rFonts w:ascii="Georgia" w:hAnsi="Georgia"/>
          <w:i/>
          <w:color w:val="003366"/>
          <w:sz w:val="20"/>
          <w:szCs w:val="20"/>
        </w:rPr>
        <w:t>s</w:t>
      </w:r>
      <w:r>
        <w:rPr>
          <w:rFonts w:ascii="Georgia" w:hAnsi="Georgia"/>
          <w:i/>
          <w:color w:val="003366"/>
          <w:sz w:val="20"/>
          <w:szCs w:val="20"/>
        </w:rPr>
        <w:t xml:space="preserve"> are volatile and costs are unclear; (2) Hackers and scammers pose a serious security threat; and (3) Companies may not offer help or refunds for lost or stolen funds.</w:t>
      </w:r>
    </w:p>
    <w:p w:rsidR="003D3582" w:rsidRDefault="003D3582" w:rsidP="003D3582">
      <w:pPr>
        <w:pStyle w:val="Heading"/>
        <w:rPr>
          <w:color w:val="auto"/>
          <w:sz w:val="24"/>
          <w:szCs w:val="24"/>
        </w:rPr>
      </w:pPr>
    </w:p>
    <w:p w:rsidR="00FD43A6" w:rsidRDefault="00FD43A6" w:rsidP="003D3582">
      <w:pPr>
        <w:pStyle w:val="Heading"/>
        <w:rPr>
          <w:color w:val="auto"/>
          <w:sz w:val="24"/>
          <w:szCs w:val="24"/>
        </w:rPr>
      </w:pPr>
    </w:p>
    <w:p w:rsidR="003D3582" w:rsidRDefault="003D3582" w:rsidP="003D3582">
      <w:pPr>
        <w:pStyle w:val="Heading"/>
        <w:rPr>
          <w:color w:val="002060"/>
          <w:sz w:val="24"/>
          <w:szCs w:val="24"/>
        </w:rPr>
      </w:pPr>
      <w:r>
        <w:rPr>
          <w:color w:val="002060"/>
          <w:sz w:val="24"/>
          <w:szCs w:val="24"/>
        </w:rPr>
        <w:t xml:space="preserve">CFPB training for those working with low- to moderate-income individuals </w:t>
      </w:r>
      <w:r w:rsidRPr="00C83D41">
        <w:rPr>
          <w:color w:val="002060"/>
          <w:sz w:val="24"/>
          <w:szCs w:val="24"/>
        </w:rPr>
        <w:br/>
      </w:r>
    </w:p>
    <w:p w:rsidR="003D3582" w:rsidRPr="00570C9B" w:rsidRDefault="003D3582" w:rsidP="003D3582">
      <w:pPr>
        <w:pStyle w:val="Heading"/>
        <w:rPr>
          <w:rFonts w:ascii="Georgia" w:hAnsi="Georgia"/>
          <w:b w:val="0"/>
          <w:color w:val="auto"/>
          <w:sz w:val="24"/>
          <w:szCs w:val="24"/>
        </w:rPr>
      </w:pPr>
      <w:r>
        <w:rPr>
          <w:rFonts w:ascii="Georgia" w:hAnsi="Georgia"/>
          <w:b w:val="0"/>
          <w:color w:val="auto"/>
          <w:sz w:val="24"/>
          <w:szCs w:val="24"/>
        </w:rPr>
        <w:t>The CFPB</w:t>
      </w:r>
      <w:r w:rsidRPr="00F35E3A">
        <w:rPr>
          <w:rFonts w:ascii="Georgia" w:hAnsi="Georgia"/>
          <w:b w:val="0"/>
          <w:color w:val="auto"/>
          <w:sz w:val="24"/>
          <w:szCs w:val="24"/>
        </w:rPr>
        <w:t xml:space="preserve"> announced that it is partnering with national and local organizations across the country to train social services staff to provide financial education and tools to clients with low-to-moderate incomes. As part of that partnership, the CFPB unveiled a new online toolkit called </w:t>
      </w:r>
      <w:hyperlink r:id="rId11" w:history="1">
        <w:r w:rsidRPr="000135B5">
          <w:rPr>
            <w:rStyle w:val="Hyperlink"/>
            <w:rFonts w:ascii="Georgia" w:hAnsi="Georgia" w:cs="Arial"/>
            <w:b w:val="0"/>
            <w:sz w:val="24"/>
            <w:szCs w:val="24"/>
          </w:rPr>
          <w:t>Your Money, Your Goals</w:t>
        </w:r>
      </w:hyperlink>
      <w:r>
        <w:rPr>
          <w:rStyle w:val="EndnoteReference"/>
          <w:rFonts w:ascii="Georgia" w:hAnsi="Georgia"/>
          <w:b w:val="0"/>
          <w:color w:val="auto"/>
          <w:sz w:val="24"/>
          <w:szCs w:val="24"/>
        </w:rPr>
        <w:endnoteReference w:id="2"/>
      </w:r>
      <w:r w:rsidRPr="00F35E3A">
        <w:rPr>
          <w:rFonts w:ascii="Georgia" w:hAnsi="Georgia"/>
          <w:b w:val="0"/>
          <w:color w:val="auto"/>
          <w:sz w:val="24"/>
          <w:szCs w:val="24"/>
        </w:rPr>
        <w:t>, a comprehensive guide to empowered financial decision-making that covers topics like budgeting daily expenses, managing debt, and avoiding financial tricks and traps.</w:t>
      </w:r>
    </w:p>
    <w:p w:rsidR="003D3582" w:rsidRPr="00570C9B" w:rsidRDefault="003D3582" w:rsidP="003D3582">
      <w:pPr>
        <w:pStyle w:val="Heading"/>
        <w:rPr>
          <w:rFonts w:ascii="Georgia" w:hAnsi="Georgia"/>
          <w:b w:val="0"/>
          <w:color w:val="auto"/>
          <w:sz w:val="24"/>
          <w:szCs w:val="24"/>
        </w:rPr>
      </w:pPr>
      <w:r w:rsidRPr="00570C9B">
        <w:rPr>
          <w:rFonts w:ascii="Georgia" w:hAnsi="Georgia"/>
          <w:b w:val="0"/>
          <w:color w:val="auto"/>
          <w:sz w:val="24"/>
          <w:szCs w:val="24"/>
        </w:rPr>
        <w:t xml:space="preserve"> </w:t>
      </w:r>
    </w:p>
    <w:p w:rsidR="003D3582" w:rsidRPr="003E0CD2" w:rsidRDefault="003D3582" w:rsidP="003D3582">
      <w:pPr>
        <w:rPr>
          <w:rFonts w:ascii="Georgia" w:hAnsi="Georgia" w:cs="Arial"/>
          <w:b/>
          <w:i/>
          <w:color w:val="002060"/>
          <w:sz w:val="20"/>
          <w:szCs w:val="20"/>
        </w:rPr>
      </w:pPr>
      <w:r w:rsidRPr="003E0CD2">
        <w:rPr>
          <w:rFonts w:ascii="Georgia" w:hAnsi="Georgia" w:cs="Arial"/>
          <w:b/>
          <w:i/>
          <w:color w:val="002060"/>
          <w:sz w:val="20"/>
          <w:szCs w:val="20"/>
        </w:rPr>
        <w:t>Comment: In light of the criticism that the CFPB leveled against bank overdraft programs in its recent repor</w:t>
      </w:r>
      <w:r>
        <w:rPr>
          <w:rFonts w:ascii="Georgia" w:hAnsi="Georgia" w:cs="Arial"/>
          <w:b/>
          <w:i/>
          <w:color w:val="002060"/>
          <w:sz w:val="20"/>
          <w:szCs w:val="20"/>
        </w:rPr>
        <w:t>t, it is surprising that this 2</w:t>
      </w:r>
      <w:r w:rsidRPr="003E0CD2">
        <w:rPr>
          <w:rFonts w:ascii="Georgia" w:hAnsi="Georgia" w:cs="Arial"/>
          <w:b/>
          <w:i/>
          <w:color w:val="002060"/>
          <w:sz w:val="20"/>
          <w:szCs w:val="20"/>
        </w:rPr>
        <w:t>8</w:t>
      </w:r>
      <w:r>
        <w:rPr>
          <w:rFonts w:ascii="Georgia" w:hAnsi="Georgia" w:cs="Arial"/>
          <w:b/>
          <w:i/>
          <w:color w:val="002060"/>
          <w:sz w:val="20"/>
          <w:szCs w:val="20"/>
        </w:rPr>
        <w:t>4 page</w:t>
      </w:r>
      <w:r w:rsidRPr="003E0CD2">
        <w:rPr>
          <w:rFonts w:ascii="Georgia" w:hAnsi="Georgia" w:cs="Arial"/>
          <w:b/>
          <w:i/>
          <w:color w:val="002060"/>
          <w:sz w:val="20"/>
          <w:szCs w:val="20"/>
        </w:rPr>
        <w:t xml:space="preserve"> toolkit has no training on simply</w:t>
      </w:r>
      <w:r w:rsidR="0044599B">
        <w:rPr>
          <w:rFonts w:ascii="Georgia" w:hAnsi="Georgia" w:cs="Arial"/>
          <w:b/>
          <w:i/>
          <w:color w:val="002060"/>
          <w:sz w:val="20"/>
          <w:szCs w:val="20"/>
        </w:rPr>
        <w:t xml:space="preserve"> using a check register or</w:t>
      </w:r>
      <w:r w:rsidRPr="003E0CD2">
        <w:rPr>
          <w:rFonts w:ascii="Georgia" w:hAnsi="Georgia" w:cs="Arial"/>
          <w:b/>
          <w:i/>
          <w:color w:val="002060"/>
          <w:sz w:val="20"/>
          <w:szCs w:val="20"/>
        </w:rPr>
        <w:t xml:space="preserve"> balancing a checkbook.</w:t>
      </w:r>
    </w:p>
    <w:p w:rsidR="003D3582" w:rsidRDefault="003D3582" w:rsidP="003D3582">
      <w:pPr>
        <w:rPr>
          <w:rFonts w:ascii="Georgia" w:hAnsi="Georgia" w:cs="Arial"/>
          <w:b/>
          <w:i/>
          <w:color w:val="003366"/>
          <w:sz w:val="20"/>
          <w:szCs w:val="20"/>
        </w:rPr>
      </w:pPr>
    </w:p>
    <w:p w:rsidR="003D3582" w:rsidRDefault="003D3582" w:rsidP="003D3582">
      <w:pPr>
        <w:pStyle w:val="Heading"/>
        <w:rPr>
          <w:color w:val="auto"/>
          <w:sz w:val="24"/>
          <w:szCs w:val="24"/>
        </w:rPr>
      </w:pPr>
    </w:p>
    <w:p w:rsidR="003D3582" w:rsidRPr="00C83D41" w:rsidRDefault="003D3582" w:rsidP="003D3582">
      <w:pPr>
        <w:pStyle w:val="Heading"/>
        <w:rPr>
          <w:color w:val="002060"/>
          <w:sz w:val="24"/>
          <w:szCs w:val="24"/>
        </w:rPr>
      </w:pPr>
      <w:r>
        <w:rPr>
          <w:color w:val="002060"/>
          <w:sz w:val="24"/>
          <w:szCs w:val="24"/>
        </w:rPr>
        <w:lastRenderedPageBreak/>
        <w:t>CFPB taking prepaid card complaints</w:t>
      </w:r>
      <w:r w:rsidRPr="00C83D41">
        <w:rPr>
          <w:color w:val="002060"/>
          <w:sz w:val="24"/>
          <w:szCs w:val="24"/>
        </w:rPr>
        <w:br/>
      </w:r>
    </w:p>
    <w:p w:rsidR="003D3582" w:rsidRDefault="003D3582" w:rsidP="003D3582">
      <w:pPr>
        <w:pStyle w:val="Heading"/>
        <w:rPr>
          <w:rFonts w:ascii="Georgia" w:hAnsi="Georgia"/>
          <w:b w:val="0"/>
          <w:color w:val="auto"/>
          <w:sz w:val="24"/>
          <w:szCs w:val="24"/>
        </w:rPr>
      </w:pPr>
      <w:r>
        <w:rPr>
          <w:rFonts w:ascii="Georgia" w:hAnsi="Georgia"/>
          <w:b w:val="0"/>
          <w:color w:val="auto"/>
          <w:sz w:val="24"/>
          <w:szCs w:val="24"/>
        </w:rPr>
        <w:t xml:space="preserve">The </w:t>
      </w:r>
      <w:hyperlink r:id="rId12" w:history="1">
        <w:r w:rsidRPr="0019067E">
          <w:rPr>
            <w:rStyle w:val="Hyperlink"/>
            <w:rFonts w:ascii="Georgia" w:hAnsi="Georgia" w:cs="Arial"/>
            <w:b w:val="0"/>
            <w:sz w:val="24"/>
            <w:szCs w:val="24"/>
          </w:rPr>
          <w:t>CFPB announced</w:t>
        </w:r>
      </w:hyperlink>
      <w:r>
        <w:rPr>
          <w:rStyle w:val="EndnoteReference"/>
          <w:rFonts w:ascii="Georgia" w:hAnsi="Georgia"/>
          <w:b w:val="0"/>
          <w:color w:val="auto"/>
          <w:sz w:val="24"/>
          <w:szCs w:val="24"/>
        </w:rPr>
        <w:endnoteReference w:id="3"/>
      </w:r>
      <w:r>
        <w:rPr>
          <w:rFonts w:ascii="Georgia" w:hAnsi="Georgia"/>
          <w:b w:val="0"/>
          <w:color w:val="auto"/>
          <w:sz w:val="24"/>
          <w:szCs w:val="24"/>
        </w:rPr>
        <w:t xml:space="preserve"> that it is accepting consumer complaints relating to prepaid cards, including gift cards, benefit cards, and general purpose reloadable cards. Additionally, consumers may submit complaints about nonbank products, including debt settlement services, credit repair services, and pawn and title loans. </w:t>
      </w:r>
      <w:hyperlink r:id="rId13" w:history="1">
        <w:r w:rsidRPr="0019067E">
          <w:rPr>
            <w:rStyle w:val="Hyperlink"/>
            <w:rFonts w:ascii="Georgia" w:hAnsi="Georgia" w:cs="Arial"/>
            <w:b w:val="0"/>
            <w:sz w:val="24"/>
            <w:szCs w:val="24"/>
          </w:rPr>
          <w:t>Consumer Complaint Database</w:t>
        </w:r>
      </w:hyperlink>
      <w:r>
        <w:rPr>
          <w:rFonts w:ascii="Georgia" w:hAnsi="Georgia"/>
          <w:b w:val="0"/>
          <w:color w:val="auto"/>
          <w:sz w:val="24"/>
          <w:szCs w:val="24"/>
        </w:rPr>
        <w:t>.</w:t>
      </w:r>
      <w:r>
        <w:rPr>
          <w:rStyle w:val="EndnoteReference"/>
          <w:rFonts w:ascii="Georgia" w:hAnsi="Georgia"/>
          <w:b w:val="0"/>
          <w:color w:val="auto"/>
          <w:sz w:val="24"/>
          <w:szCs w:val="24"/>
        </w:rPr>
        <w:endnoteReference w:id="4"/>
      </w:r>
    </w:p>
    <w:p w:rsidR="003D3582" w:rsidRDefault="003D3582" w:rsidP="003D3582">
      <w:pPr>
        <w:pStyle w:val="Heading"/>
        <w:rPr>
          <w:color w:val="auto"/>
          <w:sz w:val="24"/>
          <w:szCs w:val="24"/>
        </w:rPr>
      </w:pPr>
    </w:p>
    <w:p w:rsidR="003D3582" w:rsidRPr="00DF312B" w:rsidRDefault="003D3582" w:rsidP="003D3582">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 The CFPB expects all but the most complicated complaints to be closed within 60 days.</w:t>
      </w:r>
    </w:p>
    <w:p w:rsidR="003D3582" w:rsidRDefault="003D3582" w:rsidP="003D3582">
      <w:pPr>
        <w:pStyle w:val="Heading"/>
        <w:rPr>
          <w:color w:val="auto"/>
          <w:sz w:val="24"/>
          <w:szCs w:val="24"/>
        </w:rPr>
      </w:pPr>
    </w:p>
    <w:p w:rsidR="003D3582" w:rsidRDefault="003D3582" w:rsidP="003D3582">
      <w:pPr>
        <w:pStyle w:val="Heading"/>
        <w:rPr>
          <w:color w:val="auto"/>
          <w:sz w:val="24"/>
          <w:szCs w:val="24"/>
        </w:rPr>
      </w:pPr>
    </w:p>
    <w:p w:rsidR="003D3582" w:rsidRPr="00C83D41" w:rsidRDefault="003D3582" w:rsidP="003D3582">
      <w:pPr>
        <w:pStyle w:val="Heading"/>
        <w:rPr>
          <w:color w:val="002060"/>
          <w:sz w:val="24"/>
          <w:szCs w:val="24"/>
        </w:rPr>
      </w:pPr>
      <w:r w:rsidRPr="00903148">
        <w:rPr>
          <w:color w:val="002060"/>
          <w:sz w:val="24"/>
          <w:szCs w:val="24"/>
        </w:rPr>
        <w:t xml:space="preserve">CFPB </w:t>
      </w:r>
      <w:r w:rsidRPr="001220D7">
        <w:rPr>
          <w:color w:val="002060"/>
          <w:sz w:val="24"/>
          <w:szCs w:val="24"/>
        </w:rPr>
        <w:t>Proposes</w:t>
      </w:r>
      <w:r w:rsidRPr="00903148">
        <w:rPr>
          <w:color w:val="002060"/>
          <w:sz w:val="24"/>
          <w:szCs w:val="24"/>
        </w:rPr>
        <w:t xml:space="preserve"> Changes to HMDA Reporting</w:t>
      </w:r>
      <w:r w:rsidRPr="00C83D41">
        <w:rPr>
          <w:color w:val="002060"/>
          <w:sz w:val="24"/>
          <w:szCs w:val="24"/>
        </w:rPr>
        <w:br/>
      </w:r>
    </w:p>
    <w:p w:rsidR="003D3582" w:rsidRPr="00903148" w:rsidRDefault="003D3582" w:rsidP="003D3582">
      <w:pPr>
        <w:pStyle w:val="Heading"/>
        <w:rPr>
          <w:rFonts w:ascii="Georgia" w:hAnsi="Georgia"/>
          <w:b w:val="0"/>
          <w:color w:val="auto"/>
          <w:sz w:val="24"/>
          <w:szCs w:val="24"/>
        </w:rPr>
      </w:pPr>
      <w:r>
        <w:rPr>
          <w:rFonts w:ascii="Georgia" w:hAnsi="Georgia"/>
          <w:b w:val="0"/>
          <w:color w:val="auto"/>
          <w:sz w:val="24"/>
          <w:szCs w:val="24"/>
        </w:rPr>
        <w:t>T</w:t>
      </w:r>
      <w:r w:rsidRPr="00903148">
        <w:rPr>
          <w:rFonts w:ascii="Georgia" w:hAnsi="Georgia"/>
          <w:b w:val="0"/>
          <w:color w:val="auto"/>
          <w:sz w:val="24"/>
          <w:szCs w:val="24"/>
        </w:rPr>
        <w:t xml:space="preserve">he CFPB </w:t>
      </w:r>
      <w:hyperlink r:id="rId14" w:history="1">
        <w:r w:rsidRPr="006140B8">
          <w:rPr>
            <w:rStyle w:val="Hyperlink"/>
            <w:rFonts w:ascii="Georgia" w:hAnsi="Georgia" w:cs="Arial"/>
            <w:b w:val="0"/>
            <w:sz w:val="24"/>
            <w:szCs w:val="24"/>
          </w:rPr>
          <w:t>issued</w:t>
        </w:r>
      </w:hyperlink>
      <w:r>
        <w:rPr>
          <w:rStyle w:val="EndnoteReference"/>
          <w:rFonts w:ascii="Georgia" w:hAnsi="Georgia"/>
          <w:b w:val="0"/>
          <w:color w:val="auto"/>
          <w:sz w:val="24"/>
          <w:szCs w:val="24"/>
        </w:rPr>
        <w:endnoteReference w:id="5"/>
      </w:r>
      <w:r w:rsidRPr="00903148">
        <w:rPr>
          <w:rFonts w:ascii="Georgia" w:hAnsi="Georgia"/>
          <w:b w:val="0"/>
          <w:color w:val="auto"/>
          <w:sz w:val="24"/>
          <w:szCs w:val="24"/>
        </w:rPr>
        <w:t xml:space="preserve"> a proposed rule to expand HMDA data reporting requirements. In addition to new data points specifically required by the Dodd-Frank Act, the proposal would require collection and reporting of several new data points and the inclusion of some loans not presently covered. Generally the proposal would increase the number of closed-end loans or reverse mortgages made in a year to trigger HMDA reporting from one to 25 in a year.</w:t>
      </w:r>
    </w:p>
    <w:p w:rsidR="003D3582" w:rsidRDefault="003D3582" w:rsidP="003D3582">
      <w:pPr>
        <w:pStyle w:val="Heading"/>
        <w:rPr>
          <w:color w:val="auto"/>
          <w:sz w:val="24"/>
          <w:szCs w:val="24"/>
        </w:rPr>
      </w:pPr>
    </w:p>
    <w:p w:rsidR="003D3582" w:rsidRDefault="003D3582" w:rsidP="003D3582">
      <w:pPr>
        <w:pStyle w:val="Heading"/>
        <w:rPr>
          <w:rFonts w:ascii="Georgia" w:hAnsi="Georgia"/>
          <w:i/>
          <w:color w:val="003366"/>
          <w:sz w:val="20"/>
          <w:szCs w:val="20"/>
        </w:rPr>
      </w:pPr>
      <w:r w:rsidRPr="000930D0">
        <w:rPr>
          <w:rFonts w:ascii="Georgia" w:hAnsi="Georgia"/>
          <w:i/>
          <w:color w:val="003366"/>
          <w:sz w:val="20"/>
          <w:szCs w:val="20"/>
        </w:rPr>
        <w:t>Comment</w:t>
      </w:r>
      <w:r>
        <w:rPr>
          <w:rFonts w:ascii="Georgia" w:hAnsi="Georgia"/>
          <w:i/>
          <w:color w:val="003366"/>
          <w:sz w:val="20"/>
          <w:szCs w:val="20"/>
        </w:rPr>
        <w:t>:</w:t>
      </w:r>
      <w:r w:rsidRPr="00903148">
        <w:t xml:space="preserve"> </w:t>
      </w:r>
      <w:r w:rsidRPr="00903148">
        <w:rPr>
          <w:rFonts w:ascii="Georgia" w:hAnsi="Georgia"/>
          <w:i/>
          <w:color w:val="003366"/>
          <w:sz w:val="20"/>
          <w:szCs w:val="20"/>
        </w:rPr>
        <w:t xml:space="preserve">While we commend the CFPB for the proposed reporting threshold increase, we are disappointed with the inclusion of </w:t>
      </w:r>
      <w:r w:rsidR="0044599B">
        <w:rPr>
          <w:rFonts w:ascii="Georgia" w:hAnsi="Georgia"/>
          <w:i/>
          <w:color w:val="003366"/>
          <w:sz w:val="20"/>
          <w:szCs w:val="20"/>
        </w:rPr>
        <w:t xml:space="preserve">seemingly </w:t>
      </w:r>
      <w:r w:rsidRPr="00903148">
        <w:rPr>
          <w:rFonts w:ascii="Georgia" w:hAnsi="Georgia"/>
          <w:i/>
          <w:color w:val="003366"/>
          <w:sz w:val="20"/>
          <w:szCs w:val="20"/>
        </w:rPr>
        <w:t>unnec</w:t>
      </w:r>
      <w:r>
        <w:rPr>
          <w:rFonts w:ascii="Georgia" w:hAnsi="Georgia"/>
          <w:i/>
          <w:color w:val="003366"/>
          <w:sz w:val="20"/>
          <w:szCs w:val="20"/>
        </w:rPr>
        <w:t>essary additional data points. Community banks can ill-afford the continued inundation of additional consumer compliance and data collection requirements. HMDA i</w:t>
      </w:r>
      <w:r w:rsidR="0057466E">
        <w:rPr>
          <w:rFonts w:ascii="Georgia" w:hAnsi="Georgia"/>
          <w:i/>
          <w:color w:val="003366"/>
          <w:sz w:val="20"/>
          <w:szCs w:val="20"/>
        </w:rPr>
        <w:t>s an area with high error rates—</w:t>
      </w:r>
      <w:r>
        <w:rPr>
          <w:rFonts w:ascii="Georgia" w:hAnsi="Georgia"/>
          <w:i/>
          <w:color w:val="003366"/>
          <w:sz w:val="20"/>
          <w:szCs w:val="20"/>
        </w:rPr>
        <w:t xml:space="preserve"> not for lack of effort, but because the rules are difficult to follow. Additional data points will cause additional errors with little added value. The comment period is open through October 22, 2014.</w:t>
      </w:r>
    </w:p>
    <w:p w:rsidR="00EA036A" w:rsidRDefault="00EA036A" w:rsidP="00EA036A">
      <w:pPr>
        <w:pStyle w:val="Heading"/>
        <w:rPr>
          <w:color w:val="auto"/>
          <w:sz w:val="24"/>
          <w:szCs w:val="24"/>
        </w:rPr>
      </w:pPr>
    </w:p>
    <w:p w:rsidR="006419F3" w:rsidRDefault="006419F3" w:rsidP="00EA036A">
      <w:pPr>
        <w:pStyle w:val="Heading"/>
        <w:rPr>
          <w:color w:val="auto"/>
          <w:sz w:val="24"/>
          <w:szCs w:val="24"/>
        </w:rPr>
      </w:pPr>
    </w:p>
    <w:p w:rsidR="007F3ED3" w:rsidRPr="00C83D41" w:rsidRDefault="007F3ED3" w:rsidP="007F3ED3">
      <w:pPr>
        <w:pStyle w:val="Heading"/>
        <w:rPr>
          <w:color w:val="002060"/>
          <w:sz w:val="24"/>
          <w:szCs w:val="24"/>
        </w:rPr>
      </w:pPr>
      <w:r>
        <w:rPr>
          <w:color w:val="002060"/>
          <w:sz w:val="24"/>
          <w:szCs w:val="24"/>
        </w:rPr>
        <w:t>CFPB blog</w:t>
      </w:r>
      <w:r w:rsidR="009C7230">
        <w:rPr>
          <w:color w:val="002060"/>
          <w:sz w:val="24"/>
          <w:szCs w:val="24"/>
        </w:rPr>
        <w:t>s</w:t>
      </w:r>
      <w:r w:rsidRPr="00C83D41">
        <w:rPr>
          <w:color w:val="002060"/>
          <w:sz w:val="24"/>
          <w:szCs w:val="24"/>
        </w:rPr>
        <w:br/>
      </w:r>
    </w:p>
    <w:p w:rsidR="007F3ED3" w:rsidRDefault="006B55C4" w:rsidP="007F3ED3">
      <w:pPr>
        <w:pStyle w:val="Heading"/>
        <w:rPr>
          <w:rFonts w:ascii="Georgia" w:hAnsi="Georgia"/>
          <w:b w:val="0"/>
          <w:color w:val="auto"/>
          <w:sz w:val="24"/>
          <w:szCs w:val="24"/>
        </w:rPr>
      </w:pPr>
      <w:hyperlink r:id="rId15" w:history="1">
        <w:r w:rsidR="007F3ED3" w:rsidRPr="007F3ED3">
          <w:rPr>
            <w:rStyle w:val="Hyperlink"/>
            <w:rFonts w:ascii="Georgia" w:hAnsi="Georgia" w:cs="Arial"/>
            <w:b w:val="0"/>
            <w:sz w:val="24"/>
            <w:szCs w:val="24"/>
          </w:rPr>
          <w:t>Plan and protect your finances with a my Social Security account</w:t>
        </w:r>
      </w:hyperlink>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16" w:history="1">
        <w:r w:rsidR="007F3ED3" w:rsidRPr="007F3ED3">
          <w:rPr>
            <w:rStyle w:val="Hyperlink"/>
            <w:rFonts w:ascii="Georgia" w:hAnsi="Georgia" w:cs="Arial"/>
            <w:b w:val="0"/>
            <w:sz w:val="24"/>
            <w:szCs w:val="24"/>
          </w:rPr>
          <w:t>A new school year, a new resource for parents and kids</w:t>
        </w:r>
      </w:hyperlink>
      <w:r w:rsidR="009C7230">
        <w:rPr>
          <w:rFonts w:ascii="Georgia" w:hAnsi="Georgia"/>
          <w:b w:val="0"/>
          <w:color w:val="auto"/>
          <w:sz w:val="24"/>
          <w:szCs w:val="24"/>
        </w:rPr>
        <w:t xml:space="preserve"> </w:t>
      </w:r>
      <w:r w:rsidR="00904EA2">
        <w:rPr>
          <w:rFonts w:ascii="Georgia" w:hAnsi="Georgia"/>
          <w:i/>
          <w:color w:val="003366"/>
          <w:sz w:val="20"/>
          <w:szCs w:val="20"/>
        </w:rPr>
        <w:t>Note: T</w:t>
      </w:r>
      <w:r w:rsidR="007F3ED3" w:rsidRPr="009C7230">
        <w:rPr>
          <w:rFonts w:ascii="Georgia" w:hAnsi="Georgia"/>
          <w:i/>
          <w:color w:val="003366"/>
          <w:sz w:val="20"/>
          <w:szCs w:val="20"/>
        </w:rPr>
        <w:t>ools for parents to use</w:t>
      </w:r>
      <w:r w:rsidR="009C7230" w:rsidRPr="009C7230">
        <w:rPr>
          <w:rFonts w:ascii="Georgia" w:hAnsi="Georgia"/>
          <w:i/>
          <w:color w:val="003366"/>
          <w:sz w:val="20"/>
          <w:szCs w:val="20"/>
        </w:rPr>
        <w:t xml:space="preserve"> to teach children about money.</w:t>
      </w:r>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17" w:history="1">
        <w:r w:rsidR="007F3ED3" w:rsidRPr="007F3ED3">
          <w:rPr>
            <w:rStyle w:val="Hyperlink"/>
            <w:rFonts w:ascii="Georgia" w:hAnsi="Georgia" w:cs="Arial"/>
            <w:b w:val="0"/>
            <w:sz w:val="24"/>
            <w:szCs w:val="24"/>
          </w:rPr>
          <w:t>Consumer advisory: Virtual currencies and what you should know about them</w:t>
        </w:r>
      </w:hyperlink>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18" w:history="1">
        <w:r w:rsidR="007F3ED3" w:rsidRPr="007F3ED3">
          <w:rPr>
            <w:rStyle w:val="Hyperlink"/>
            <w:rFonts w:ascii="Georgia" w:hAnsi="Georgia" w:cs="Arial"/>
            <w:b w:val="0"/>
            <w:sz w:val="24"/>
            <w:szCs w:val="24"/>
          </w:rPr>
          <w:t>Alerting colleges about secret banking contracts</w:t>
        </w:r>
      </w:hyperlink>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19" w:history="1">
        <w:r w:rsidR="007F3ED3" w:rsidRPr="007F3ED3">
          <w:rPr>
            <w:rStyle w:val="Hyperlink"/>
            <w:rFonts w:ascii="Georgia" w:hAnsi="Georgia" w:cs="Arial"/>
            <w:b w:val="0"/>
            <w:sz w:val="24"/>
            <w:szCs w:val="24"/>
          </w:rPr>
          <w:t>Your Money, Your Goals: Financial empowerment tools for social services</w:t>
        </w:r>
      </w:hyperlink>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20" w:history="1">
        <w:r w:rsidR="007F3ED3" w:rsidRPr="007F3ED3">
          <w:rPr>
            <w:rStyle w:val="Hyperlink"/>
            <w:rFonts w:ascii="Georgia" w:hAnsi="Georgia" w:cs="Arial"/>
            <w:b w:val="0"/>
            <w:sz w:val="24"/>
            <w:szCs w:val="24"/>
          </w:rPr>
          <w:t>We extended the comment period for our complaint narrative policy</w:t>
        </w:r>
      </w:hyperlink>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21" w:history="1">
        <w:r w:rsidR="007F3ED3" w:rsidRPr="007F3ED3">
          <w:rPr>
            <w:rStyle w:val="Hyperlink"/>
            <w:rFonts w:ascii="Georgia" w:hAnsi="Georgia" w:cs="Arial"/>
            <w:b w:val="0"/>
            <w:sz w:val="24"/>
            <w:szCs w:val="24"/>
          </w:rPr>
          <w:t>Closing the book on Colfax</w:t>
        </w:r>
      </w:hyperlink>
      <w:r w:rsidR="009C7230">
        <w:rPr>
          <w:rFonts w:ascii="Georgia" w:hAnsi="Georgia"/>
          <w:b w:val="0"/>
          <w:color w:val="auto"/>
          <w:sz w:val="24"/>
          <w:szCs w:val="24"/>
        </w:rPr>
        <w:t xml:space="preserve"> </w:t>
      </w:r>
      <w:r w:rsidR="00904EA2">
        <w:rPr>
          <w:rFonts w:ascii="Georgia" w:hAnsi="Georgia"/>
          <w:i/>
          <w:color w:val="003366"/>
          <w:sz w:val="20"/>
          <w:szCs w:val="20"/>
        </w:rPr>
        <w:t>Note: A</w:t>
      </w:r>
      <w:r w:rsidR="007F3ED3" w:rsidRPr="009C7230">
        <w:rPr>
          <w:rFonts w:ascii="Georgia" w:hAnsi="Georgia"/>
          <w:i/>
          <w:color w:val="003366"/>
          <w:sz w:val="20"/>
          <w:szCs w:val="20"/>
        </w:rPr>
        <w:t>nnouncement of enforcement action for unlawful lending pr</w:t>
      </w:r>
      <w:r w:rsidR="009C7230" w:rsidRPr="009C7230">
        <w:rPr>
          <w:rFonts w:ascii="Georgia" w:hAnsi="Georgia"/>
          <w:i/>
          <w:color w:val="003366"/>
          <w:sz w:val="20"/>
          <w:szCs w:val="20"/>
        </w:rPr>
        <w:t xml:space="preserve">actices against </w:t>
      </w:r>
      <w:r w:rsidR="0057466E" w:rsidRPr="009C7230">
        <w:rPr>
          <w:rFonts w:ascii="Georgia" w:hAnsi="Georgia"/>
          <w:i/>
          <w:color w:val="003366"/>
          <w:sz w:val="20"/>
          <w:szCs w:val="20"/>
        </w:rPr>
        <w:t>Servicemember</w:t>
      </w:r>
      <w:r w:rsidR="009C7230" w:rsidRPr="009C7230">
        <w:rPr>
          <w:rFonts w:ascii="Georgia" w:hAnsi="Georgia"/>
          <w:i/>
          <w:color w:val="003366"/>
          <w:sz w:val="20"/>
          <w:szCs w:val="20"/>
        </w:rPr>
        <w:t>.</w:t>
      </w:r>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22" w:history="1">
        <w:r w:rsidR="007F3ED3" w:rsidRPr="007F3ED3">
          <w:rPr>
            <w:rStyle w:val="Hyperlink"/>
            <w:rFonts w:ascii="Georgia" w:hAnsi="Georgia" w:cs="Arial"/>
            <w:b w:val="0"/>
            <w:sz w:val="24"/>
            <w:szCs w:val="24"/>
          </w:rPr>
          <w:t>Consumer advisory: Don’t fall for a foreclosure relief scam or bogus legal help</w:t>
        </w:r>
      </w:hyperlink>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23" w:history="1">
        <w:r w:rsidR="007F3ED3" w:rsidRPr="007F3ED3">
          <w:rPr>
            <w:rStyle w:val="Hyperlink"/>
            <w:rFonts w:ascii="Georgia" w:hAnsi="Georgia" w:cs="Arial"/>
            <w:b w:val="0"/>
            <w:sz w:val="24"/>
            <w:szCs w:val="24"/>
          </w:rPr>
          <w:t>Helping build financial capability across America</w:t>
        </w:r>
      </w:hyperlink>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24" w:history="1">
        <w:r w:rsidR="007F3ED3" w:rsidRPr="007F3ED3">
          <w:rPr>
            <w:rStyle w:val="Hyperlink"/>
            <w:rFonts w:ascii="Georgia" w:hAnsi="Georgia" w:cs="Arial"/>
            <w:b w:val="0"/>
            <w:sz w:val="24"/>
            <w:szCs w:val="24"/>
          </w:rPr>
          <w:t>Three years of standing up for consumers</w:t>
        </w:r>
      </w:hyperlink>
      <w:r w:rsidR="009C7230">
        <w:rPr>
          <w:rFonts w:ascii="Georgia" w:hAnsi="Georgia"/>
          <w:b w:val="0"/>
          <w:color w:val="auto"/>
          <w:sz w:val="24"/>
          <w:szCs w:val="24"/>
        </w:rPr>
        <w:t xml:space="preserve"> </w:t>
      </w:r>
      <w:r w:rsidR="00904EA2">
        <w:rPr>
          <w:rFonts w:ascii="Georgia" w:hAnsi="Georgia"/>
          <w:i/>
          <w:color w:val="003366"/>
          <w:sz w:val="20"/>
          <w:szCs w:val="20"/>
        </w:rPr>
        <w:t>Note: C</w:t>
      </w:r>
      <w:r w:rsidR="00CF7C8A" w:rsidRPr="009C7230">
        <w:rPr>
          <w:rFonts w:ascii="Georgia" w:hAnsi="Georgia"/>
          <w:i/>
          <w:color w:val="003366"/>
          <w:sz w:val="20"/>
          <w:szCs w:val="20"/>
        </w:rPr>
        <w:t xml:space="preserve">FPB opened its doors on July 21, </w:t>
      </w:r>
      <w:r w:rsidR="009C7230" w:rsidRPr="009C7230">
        <w:rPr>
          <w:rFonts w:ascii="Georgia" w:hAnsi="Georgia"/>
          <w:i/>
          <w:color w:val="003366"/>
          <w:sz w:val="20"/>
          <w:szCs w:val="20"/>
        </w:rPr>
        <w:t>2011.</w:t>
      </w:r>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25" w:history="1">
        <w:r w:rsidR="007F3ED3" w:rsidRPr="007F3ED3">
          <w:rPr>
            <w:rStyle w:val="Hyperlink"/>
            <w:rFonts w:ascii="Georgia" w:hAnsi="Georgia" w:cs="Arial"/>
            <w:b w:val="0"/>
            <w:sz w:val="24"/>
            <w:szCs w:val="24"/>
          </w:rPr>
          <w:t>Live from El Paso!</w:t>
        </w:r>
      </w:hyperlink>
      <w:r w:rsidR="009C7230">
        <w:rPr>
          <w:rFonts w:ascii="Georgia" w:hAnsi="Georgia"/>
          <w:b w:val="0"/>
          <w:color w:val="auto"/>
          <w:sz w:val="24"/>
          <w:szCs w:val="24"/>
        </w:rPr>
        <w:t xml:space="preserve"> </w:t>
      </w:r>
      <w:r w:rsidR="00904EA2">
        <w:rPr>
          <w:rFonts w:ascii="Georgia" w:hAnsi="Georgia"/>
          <w:i/>
          <w:color w:val="003366"/>
          <w:sz w:val="20"/>
          <w:szCs w:val="20"/>
        </w:rPr>
        <w:t>Note: R</w:t>
      </w:r>
      <w:r w:rsidR="00CF7C8A" w:rsidRPr="009C7230">
        <w:rPr>
          <w:rFonts w:ascii="Georgia" w:hAnsi="Georgia"/>
          <w:i/>
          <w:color w:val="003366"/>
          <w:sz w:val="20"/>
          <w:szCs w:val="20"/>
        </w:rPr>
        <w:t xml:space="preserve">ecording of a field </w:t>
      </w:r>
      <w:r w:rsidR="009C7230" w:rsidRPr="009C7230">
        <w:rPr>
          <w:rFonts w:ascii="Georgia" w:hAnsi="Georgia"/>
          <w:i/>
          <w:color w:val="003366"/>
          <w:sz w:val="20"/>
          <w:szCs w:val="20"/>
        </w:rPr>
        <w:t>hearing on consumer complaints.</w:t>
      </w:r>
    </w:p>
    <w:p w:rsidR="007F3ED3" w:rsidRDefault="007F3ED3" w:rsidP="007F3ED3">
      <w:pPr>
        <w:pStyle w:val="Heading"/>
        <w:rPr>
          <w:rFonts w:ascii="Georgia" w:hAnsi="Georgia"/>
          <w:b w:val="0"/>
          <w:color w:val="auto"/>
          <w:sz w:val="24"/>
          <w:szCs w:val="24"/>
        </w:rPr>
      </w:pPr>
    </w:p>
    <w:p w:rsidR="007F3ED3" w:rsidRDefault="006B55C4" w:rsidP="007F3ED3">
      <w:pPr>
        <w:pStyle w:val="Heading"/>
        <w:rPr>
          <w:rFonts w:ascii="Georgia" w:hAnsi="Georgia"/>
          <w:b w:val="0"/>
          <w:color w:val="auto"/>
          <w:sz w:val="24"/>
          <w:szCs w:val="24"/>
        </w:rPr>
      </w:pPr>
      <w:hyperlink r:id="rId26" w:history="1">
        <w:r w:rsidR="007F3ED3" w:rsidRPr="007F3ED3">
          <w:rPr>
            <w:rStyle w:val="Hyperlink"/>
            <w:rFonts w:ascii="Georgia" w:hAnsi="Georgia" w:cs="Arial"/>
            <w:b w:val="0"/>
            <w:sz w:val="24"/>
            <w:szCs w:val="24"/>
          </w:rPr>
          <w:t>Everyone has a story—what’s yours?</w:t>
        </w:r>
      </w:hyperlink>
      <w:r w:rsidR="009C7230">
        <w:rPr>
          <w:rFonts w:ascii="Georgia" w:hAnsi="Georgia"/>
          <w:b w:val="0"/>
          <w:color w:val="auto"/>
          <w:sz w:val="24"/>
          <w:szCs w:val="24"/>
        </w:rPr>
        <w:t xml:space="preserve"> </w:t>
      </w:r>
      <w:r w:rsidR="00904EA2">
        <w:rPr>
          <w:rFonts w:ascii="Georgia" w:hAnsi="Georgia"/>
          <w:i/>
          <w:color w:val="003366"/>
          <w:sz w:val="20"/>
          <w:szCs w:val="20"/>
        </w:rPr>
        <w:t>Note: C</w:t>
      </w:r>
      <w:r w:rsidR="00CF7C8A" w:rsidRPr="009C7230">
        <w:rPr>
          <w:rFonts w:ascii="Georgia" w:hAnsi="Georgia"/>
          <w:i/>
          <w:color w:val="003366"/>
          <w:sz w:val="20"/>
          <w:szCs w:val="20"/>
        </w:rPr>
        <w:t>FPB has received over 400,000 complaints a</w:t>
      </w:r>
      <w:r w:rsidR="009C7230" w:rsidRPr="009C7230">
        <w:rPr>
          <w:rFonts w:ascii="Georgia" w:hAnsi="Georgia"/>
          <w:i/>
          <w:color w:val="003366"/>
          <w:sz w:val="20"/>
          <w:szCs w:val="20"/>
        </w:rPr>
        <w:t xml:space="preserve">nd </w:t>
      </w:r>
      <w:r w:rsidR="00904EA2">
        <w:rPr>
          <w:rFonts w:ascii="Georgia" w:hAnsi="Georgia"/>
          <w:i/>
          <w:color w:val="003366"/>
          <w:sz w:val="20"/>
          <w:szCs w:val="20"/>
        </w:rPr>
        <w:t>“</w:t>
      </w:r>
      <w:r w:rsidR="009C7230" w:rsidRPr="009C7230">
        <w:rPr>
          <w:rFonts w:ascii="Georgia" w:hAnsi="Georgia"/>
          <w:i/>
          <w:color w:val="003366"/>
          <w:sz w:val="20"/>
          <w:szCs w:val="20"/>
        </w:rPr>
        <w:t>Tell Your Story</w:t>
      </w:r>
      <w:r w:rsidR="00904EA2">
        <w:rPr>
          <w:rFonts w:ascii="Georgia" w:hAnsi="Georgia"/>
          <w:i/>
          <w:color w:val="003366"/>
          <w:sz w:val="20"/>
          <w:szCs w:val="20"/>
        </w:rPr>
        <w:t>”</w:t>
      </w:r>
      <w:r w:rsidR="009C7230" w:rsidRPr="009C7230">
        <w:rPr>
          <w:rFonts w:ascii="Georgia" w:hAnsi="Georgia"/>
          <w:i/>
          <w:color w:val="003366"/>
          <w:sz w:val="20"/>
          <w:szCs w:val="20"/>
        </w:rPr>
        <w:t xml:space="preserve"> submissions.</w:t>
      </w:r>
    </w:p>
    <w:p w:rsidR="007F3ED3" w:rsidRDefault="007F3ED3" w:rsidP="007F3ED3">
      <w:pPr>
        <w:pStyle w:val="Heading"/>
        <w:rPr>
          <w:rFonts w:ascii="Georgia" w:hAnsi="Georgia"/>
          <w:b w:val="0"/>
          <w:color w:val="auto"/>
          <w:sz w:val="24"/>
          <w:szCs w:val="24"/>
        </w:rPr>
      </w:pPr>
    </w:p>
    <w:p w:rsidR="009C7230" w:rsidRDefault="009C7230" w:rsidP="007F3ED3">
      <w:pPr>
        <w:pStyle w:val="Heading"/>
        <w:rPr>
          <w:rFonts w:ascii="Georgia" w:hAnsi="Georgia"/>
          <w:b w:val="0"/>
          <w:color w:val="auto"/>
          <w:sz w:val="24"/>
          <w:szCs w:val="24"/>
        </w:rPr>
      </w:pPr>
    </w:p>
    <w:p w:rsidR="000E6A0E" w:rsidRDefault="000E6A0E" w:rsidP="000E6A0E">
      <w:pPr>
        <w:pStyle w:val="Heading"/>
        <w:rPr>
          <w:rFonts w:ascii="Georgia" w:hAnsi="Georgia"/>
          <w:b w:val="0"/>
          <w:color w:val="auto"/>
          <w:sz w:val="24"/>
          <w:szCs w:val="24"/>
        </w:rPr>
      </w:pPr>
      <w:r>
        <w:rPr>
          <w:b w:val="0"/>
          <w:color w:val="006600"/>
          <w:sz w:val="36"/>
          <w:szCs w:val="36"/>
        </w:rPr>
        <w:t>Federal Reserve</w:t>
      </w:r>
    </w:p>
    <w:p w:rsidR="000E6A0E" w:rsidRDefault="000E6A0E" w:rsidP="00EA036A">
      <w:pPr>
        <w:pStyle w:val="Heading"/>
        <w:rPr>
          <w:color w:val="auto"/>
          <w:sz w:val="24"/>
          <w:szCs w:val="24"/>
        </w:rPr>
      </w:pPr>
    </w:p>
    <w:p w:rsidR="00EA036A" w:rsidRPr="00C83D41" w:rsidRDefault="003E0CD2" w:rsidP="00EA036A">
      <w:pPr>
        <w:pStyle w:val="Heading"/>
        <w:rPr>
          <w:color w:val="002060"/>
          <w:sz w:val="24"/>
          <w:szCs w:val="24"/>
        </w:rPr>
      </w:pPr>
      <w:r>
        <w:rPr>
          <w:color w:val="002060"/>
          <w:sz w:val="24"/>
          <w:szCs w:val="24"/>
        </w:rPr>
        <w:t>Fed hosts FAQ webinar on TILA-RESPA integrated disclosures</w:t>
      </w:r>
      <w:r w:rsidR="00EA036A" w:rsidRPr="00C83D41">
        <w:rPr>
          <w:color w:val="002060"/>
          <w:sz w:val="24"/>
          <w:szCs w:val="24"/>
        </w:rPr>
        <w:br/>
      </w:r>
    </w:p>
    <w:p w:rsidR="003E0CD2" w:rsidRPr="003E0CD2" w:rsidRDefault="003E0CD2" w:rsidP="003E0CD2">
      <w:pPr>
        <w:pStyle w:val="Heading"/>
        <w:rPr>
          <w:rFonts w:ascii="Georgia" w:hAnsi="Georgia"/>
          <w:b w:val="0"/>
          <w:color w:val="auto"/>
          <w:sz w:val="24"/>
          <w:szCs w:val="24"/>
        </w:rPr>
      </w:pPr>
      <w:r>
        <w:rPr>
          <w:rFonts w:ascii="Georgia" w:hAnsi="Georgia"/>
          <w:b w:val="0"/>
          <w:color w:val="auto"/>
          <w:sz w:val="24"/>
          <w:szCs w:val="24"/>
        </w:rPr>
        <w:t>The Federal Reserve is hosting the</w:t>
      </w:r>
      <w:r w:rsidRPr="003E0CD2">
        <w:rPr>
          <w:rFonts w:ascii="Georgia" w:hAnsi="Georgia"/>
          <w:b w:val="0"/>
          <w:color w:val="auto"/>
          <w:sz w:val="24"/>
          <w:szCs w:val="24"/>
        </w:rPr>
        <w:t xml:space="preserve"> second in a series of discussions on the TILA-RESPA Integrated Disclosures rule. The CFPB plans to host these webinars periodically throughout implementation, regularly soliciting feedback and additional questions in the interim.</w:t>
      </w:r>
    </w:p>
    <w:p w:rsidR="003E0CD2" w:rsidRPr="003E0CD2" w:rsidRDefault="003E0CD2" w:rsidP="003E0CD2">
      <w:pPr>
        <w:pStyle w:val="Heading"/>
        <w:rPr>
          <w:rFonts w:ascii="Georgia" w:hAnsi="Georgia"/>
          <w:b w:val="0"/>
          <w:color w:val="auto"/>
          <w:sz w:val="24"/>
          <w:szCs w:val="24"/>
        </w:rPr>
      </w:pPr>
    </w:p>
    <w:p w:rsidR="003E0CD2" w:rsidRPr="003E0CD2" w:rsidRDefault="003E0CD2" w:rsidP="003E0CD2">
      <w:pPr>
        <w:pStyle w:val="Heading"/>
        <w:rPr>
          <w:rFonts w:ascii="Georgia" w:hAnsi="Georgia"/>
          <w:b w:val="0"/>
          <w:color w:val="auto"/>
          <w:sz w:val="24"/>
          <w:szCs w:val="24"/>
        </w:rPr>
      </w:pPr>
      <w:r w:rsidRPr="003E0CD2">
        <w:rPr>
          <w:rFonts w:ascii="Georgia" w:hAnsi="Georgia"/>
          <w:b w:val="0"/>
          <w:color w:val="auto"/>
          <w:sz w:val="24"/>
          <w:szCs w:val="24"/>
        </w:rPr>
        <w:t>The first session was presented by the CFPB on June 17 and provided an overview of the final rule and the new disclosures. You can access</w:t>
      </w:r>
      <w:r>
        <w:rPr>
          <w:rFonts w:ascii="Georgia" w:hAnsi="Georgia"/>
          <w:b w:val="0"/>
          <w:color w:val="auto"/>
          <w:sz w:val="24"/>
          <w:szCs w:val="24"/>
        </w:rPr>
        <w:t xml:space="preserve"> a recording of that </w:t>
      </w:r>
      <w:hyperlink r:id="rId27" w:history="1">
        <w:r w:rsidRPr="003E0CD2">
          <w:rPr>
            <w:rStyle w:val="Hyperlink"/>
            <w:rFonts w:ascii="Georgia" w:hAnsi="Georgia" w:cs="Arial"/>
            <w:b w:val="0"/>
            <w:sz w:val="24"/>
            <w:szCs w:val="24"/>
          </w:rPr>
          <w:t>webinar</w:t>
        </w:r>
      </w:hyperlink>
      <w:r>
        <w:rPr>
          <w:rFonts w:ascii="Georgia" w:hAnsi="Georgia"/>
          <w:b w:val="0"/>
          <w:color w:val="auto"/>
          <w:sz w:val="24"/>
          <w:szCs w:val="24"/>
        </w:rPr>
        <w:t>.</w:t>
      </w:r>
      <w:r>
        <w:rPr>
          <w:rStyle w:val="EndnoteReference"/>
          <w:rFonts w:ascii="Georgia" w:hAnsi="Georgia"/>
          <w:b w:val="0"/>
          <w:color w:val="auto"/>
          <w:sz w:val="24"/>
          <w:szCs w:val="24"/>
        </w:rPr>
        <w:endnoteReference w:id="6"/>
      </w:r>
    </w:p>
    <w:p w:rsidR="003E0CD2" w:rsidRPr="003E0CD2" w:rsidRDefault="003E0CD2" w:rsidP="003E0CD2">
      <w:pPr>
        <w:pStyle w:val="Heading"/>
        <w:rPr>
          <w:rFonts w:ascii="Georgia" w:hAnsi="Georgia"/>
          <w:b w:val="0"/>
          <w:color w:val="auto"/>
          <w:sz w:val="24"/>
          <w:szCs w:val="24"/>
        </w:rPr>
      </w:pPr>
    </w:p>
    <w:p w:rsidR="00EA036A" w:rsidRDefault="003E0CD2" w:rsidP="003E0CD2">
      <w:pPr>
        <w:pStyle w:val="Heading"/>
        <w:rPr>
          <w:color w:val="auto"/>
          <w:sz w:val="24"/>
          <w:szCs w:val="24"/>
        </w:rPr>
      </w:pPr>
      <w:r w:rsidRPr="003E0CD2">
        <w:rPr>
          <w:rFonts w:ascii="Georgia" w:hAnsi="Georgia"/>
          <w:b w:val="0"/>
          <w:color w:val="auto"/>
          <w:sz w:val="24"/>
          <w:szCs w:val="24"/>
        </w:rPr>
        <w:t xml:space="preserve">The </w:t>
      </w:r>
      <w:hyperlink r:id="rId28" w:history="1">
        <w:r w:rsidRPr="003E0CD2">
          <w:rPr>
            <w:rStyle w:val="Hyperlink"/>
            <w:rFonts w:ascii="Georgia" w:hAnsi="Georgia" w:cs="Arial"/>
            <w:b w:val="0"/>
            <w:sz w:val="24"/>
            <w:szCs w:val="24"/>
          </w:rPr>
          <w:t>session on August 26</w:t>
        </w:r>
      </w:hyperlink>
      <w:r>
        <w:rPr>
          <w:rStyle w:val="EndnoteReference"/>
          <w:rFonts w:ascii="Georgia" w:hAnsi="Georgia"/>
          <w:b w:val="0"/>
          <w:color w:val="auto"/>
          <w:sz w:val="24"/>
          <w:szCs w:val="24"/>
        </w:rPr>
        <w:endnoteReference w:id="7"/>
      </w:r>
      <w:r w:rsidRPr="003E0CD2">
        <w:rPr>
          <w:rFonts w:ascii="Georgia" w:hAnsi="Georgia"/>
          <w:b w:val="0"/>
          <w:color w:val="auto"/>
          <w:sz w:val="24"/>
          <w:szCs w:val="24"/>
        </w:rPr>
        <w:t xml:space="preserve"> will address specific questions related to rule interpretation and implementation challenges that have been raised to the </w:t>
      </w:r>
      <w:r>
        <w:rPr>
          <w:rFonts w:ascii="Georgia" w:hAnsi="Georgia"/>
          <w:b w:val="0"/>
          <w:color w:val="auto"/>
          <w:sz w:val="24"/>
          <w:szCs w:val="24"/>
        </w:rPr>
        <w:t>CFPB</w:t>
      </w:r>
      <w:r w:rsidRPr="003E0CD2">
        <w:rPr>
          <w:rFonts w:ascii="Georgia" w:hAnsi="Georgia"/>
          <w:b w:val="0"/>
          <w:color w:val="auto"/>
          <w:sz w:val="24"/>
          <w:szCs w:val="24"/>
        </w:rPr>
        <w:t xml:space="preserve"> by creditors, mortgage brokers, settlement agents, software developers, and other stakeholders. Future sessions will continue to address specific questions and challenges.</w:t>
      </w:r>
    </w:p>
    <w:p w:rsidR="003E0CD2" w:rsidRDefault="003E0CD2" w:rsidP="00EA036A">
      <w:pPr>
        <w:rPr>
          <w:rFonts w:ascii="Georgia" w:hAnsi="Georgia" w:cs="Arial"/>
          <w:b/>
          <w:i/>
          <w:color w:val="003366"/>
          <w:sz w:val="20"/>
          <w:szCs w:val="20"/>
        </w:rPr>
      </w:pPr>
    </w:p>
    <w:p w:rsidR="00EA036A" w:rsidRPr="00DF312B" w:rsidRDefault="00EA036A" w:rsidP="00EA036A">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w:t>
      </w:r>
      <w:r w:rsidR="004534C5">
        <w:rPr>
          <w:rFonts w:ascii="Georgia" w:hAnsi="Georgia" w:cs="Arial"/>
          <w:b/>
          <w:i/>
          <w:color w:val="003366"/>
          <w:sz w:val="20"/>
          <w:szCs w:val="20"/>
        </w:rPr>
        <w:t xml:space="preserve"> The clock is ticking on the TILA/RESPA integrated disclosures. Banks will begin using them on September 1, 2015, but will need to be ready well in advance of that.  And you'll want to leave time for testing.</w:t>
      </w:r>
    </w:p>
    <w:p w:rsidR="003611CA" w:rsidRDefault="003611CA" w:rsidP="00EA036A">
      <w:pPr>
        <w:pStyle w:val="Heading"/>
        <w:rPr>
          <w:color w:val="auto"/>
          <w:sz w:val="24"/>
          <w:szCs w:val="24"/>
        </w:rPr>
      </w:pPr>
    </w:p>
    <w:p w:rsidR="003611CA" w:rsidRDefault="003611CA" w:rsidP="00EA036A">
      <w:pPr>
        <w:pStyle w:val="Heading"/>
        <w:rPr>
          <w:color w:val="auto"/>
          <w:sz w:val="24"/>
          <w:szCs w:val="24"/>
        </w:rPr>
      </w:pPr>
    </w:p>
    <w:p w:rsidR="000E6A0E" w:rsidRPr="000E6A0E" w:rsidRDefault="000E6A0E" w:rsidP="00EA036A">
      <w:pPr>
        <w:pStyle w:val="Heading"/>
        <w:rPr>
          <w:rFonts w:ascii="Georgia" w:hAnsi="Georgia"/>
          <w:b w:val="0"/>
          <w:color w:val="auto"/>
          <w:sz w:val="24"/>
          <w:szCs w:val="24"/>
        </w:rPr>
      </w:pPr>
      <w:r>
        <w:rPr>
          <w:b w:val="0"/>
          <w:color w:val="006600"/>
          <w:sz w:val="36"/>
          <w:szCs w:val="36"/>
        </w:rPr>
        <w:t>FDIC</w:t>
      </w:r>
    </w:p>
    <w:p w:rsidR="00EA036A" w:rsidRDefault="00EA036A" w:rsidP="00EA036A">
      <w:pPr>
        <w:pStyle w:val="Heading"/>
        <w:rPr>
          <w:rFonts w:ascii="Georgia" w:hAnsi="Georgia"/>
          <w:i/>
          <w:color w:val="003366"/>
          <w:sz w:val="20"/>
          <w:szCs w:val="20"/>
        </w:rPr>
      </w:pPr>
    </w:p>
    <w:p w:rsidR="003D3582" w:rsidRPr="00C83D41" w:rsidRDefault="003D3582" w:rsidP="003D3582">
      <w:pPr>
        <w:pStyle w:val="Heading"/>
        <w:rPr>
          <w:color w:val="002060"/>
          <w:sz w:val="24"/>
          <w:szCs w:val="24"/>
        </w:rPr>
      </w:pPr>
      <w:r>
        <w:rPr>
          <w:color w:val="002060"/>
          <w:sz w:val="24"/>
          <w:szCs w:val="24"/>
        </w:rPr>
        <w:t>FDIC announces low-cost child savings account pilot program</w:t>
      </w:r>
      <w:r w:rsidRPr="00C83D41">
        <w:rPr>
          <w:color w:val="002060"/>
          <w:sz w:val="24"/>
          <w:szCs w:val="24"/>
        </w:rPr>
        <w:br/>
      </w:r>
    </w:p>
    <w:p w:rsidR="003D3582" w:rsidRDefault="003D3582" w:rsidP="003D3582">
      <w:pPr>
        <w:pStyle w:val="Heading"/>
        <w:rPr>
          <w:color w:val="auto"/>
          <w:sz w:val="24"/>
          <w:szCs w:val="24"/>
        </w:rPr>
      </w:pPr>
      <w:r w:rsidRPr="00A76A79">
        <w:rPr>
          <w:rFonts w:ascii="Georgia" w:hAnsi="Georgia"/>
          <w:b w:val="0"/>
          <w:color w:val="auto"/>
          <w:sz w:val="24"/>
          <w:szCs w:val="24"/>
        </w:rPr>
        <w:t>The FDIC announce</w:t>
      </w:r>
      <w:r>
        <w:rPr>
          <w:rFonts w:ascii="Georgia" w:hAnsi="Georgia"/>
          <w:b w:val="0"/>
          <w:color w:val="auto"/>
          <w:sz w:val="24"/>
          <w:szCs w:val="24"/>
        </w:rPr>
        <w:t>d</w:t>
      </w:r>
      <w:r w:rsidRPr="00A76A79">
        <w:rPr>
          <w:rFonts w:ascii="Georgia" w:hAnsi="Georgia"/>
          <w:b w:val="0"/>
          <w:color w:val="auto"/>
          <w:sz w:val="24"/>
          <w:szCs w:val="24"/>
        </w:rPr>
        <w:t xml:space="preserve"> the launch of a pilot program to identify and highlight promising approaches to offering financial education tied to the opening of safe, low-cost savings accounts to school-aged children. This pilot will consist of FDIC-insured financial institutions that have entered, or intend to enter, working relationships with schools and/or non-profit organizations to help these children open savings accounts in conjunction with financial education programs.</w:t>
      </w:r>
    </w:p>
    <w:p w:rsidR="003D3582" w:rsidRDefault="003D3582" w:rsidP="003D3582">
      <w:pPr>
        <w:pStyle w:val="Heading"/>
        <w:rPr>
          <w:rFonts w:ascii="Georgia" w:hAnsi="Georgia"/>
          <w:i/>
          <w:color w:val="003366"/>
          <w:sz w:val="20"/>
          <w:szCs w:val="20"/>
        </w:rPr>
      </w:pPr>
    </w:p>
    <w:p w:rsidR="003D3582" w:rsidRDefault="003D3582" w:rsidP="003D3582">
      <w:pPr>
        <w:pStyle w:val="Heading"/>
        <w:rPr>
          <w:rFonts w:ascii="Georgia" w:hAnsi="Georgia"/>
          <w:i/>
          <w:color w:val="003366"/>
          <w:sz w:val="20"/>
          <w:szCs w:val="20"/>
        </w:rPr>
      </w:pPr>
      <w:r w:rsidRPr="000930D0">
        <w:rPr>
          <w:rFonts w:ascii="Georgia" w:hAnsi="Georgia"/>
          <w:i/>
          <w:color w:val="003366"/>
          <w:sz w:val="20"/>
          <w:szCs w:val="20"/>
        </w:rPr>
        <w:t>Comment</w:t>
      </w:r>
      <w:r>
        <w:rPr>
          <w:rFonts w:ascii="Georgia" w:hAnsi="Georgia"/>
          <w:i/>
          <w:color w:val="003366"/>
          <w:sz w:val="20"/>
          <w:szCs w:val="20"/>
        </w:rPr>
        <w:t xml:space="preserve">: </w:t>
      </w:r>
      <w:r w:rsidRPr="00D723AA">
        <w:rPr>
          <w:rFonts w:ascii="Georgia" w:hAnsi="Georgia"/>
          <w:i/>
          <w:color w:val="003366"/>
          <w:sz w:val="20"/>
          <w:szCs w:val="20"/>
        </w:rPr>
        <w:t xml:space="preserve">Through August 22, 2014, the FDIC is soliciting interest from institutions that will have a youth savings program underway during the 2014-2015 school year. For the second phase, the FDIC will begin soliciting interest in April of 2015 for institutions that </w:t>
      </w:r>
      <w:r w:rsidRPr="00D723AA">
        <w:rPr>
          <w:rFonts w:ascii="Georgia" w:hAnsi="Georgia"/>
          <w:i/>
          <w:color w:val="003366"/>
          <w:sz w:val="20"/>
          <w:szCs w:val="20"/>
        </w:rPr>
        <w:lastRenderedPageBreak/>
        <w:t>will begin new savings programs with schools in the 2015-2016 school year. Information on thi</w:t>
      </w:r>
      <w:r>
        <w:rPr>
          <w:rFonts w:ascii="Georgia" w:hAnsi="Georgia"/>
          <w:i/>
          <w:color w:val="003366"/>
          <w:sz w:val="20"/>
          <w:szCs w:val="20"/>
        </w:rPr>
        <w:t xml:space="preserve">s pilot program can be found </w:t>
      </w:r>
      <w:hyperlink r:id="rId29" w:history="1">
        <w:r w:rsidRPr="00D723AA">
          <w:rPr>
            <w:rStyle w:val="Hyperlink"/>
            <w:rFonts w:ascii="Georgia" w:hAnsi="Georgia" w:cs="Arial"/>
            <w:i/>
            <w:sz w:val="20"/>
            <w:szCs w:val="20"/>
          </w:rPr>
          <w:t>here</w:t>
        </w:r>
      </w:hyperlink>
      <w:r>
        <w:rPr>
          <w:rFonts w:ascii="Georgia" w:hAnsi="Georgia"/>
          <w:i/>
          <w:color w:val="003366"/>
          <w:sz w:val="20"/>
          <w:szCs w:val="20"/>
        </w:rPr>
        <w:t>.</w:t>
      </w:r>
      <w:r>
        <w:rPr>
          <w:rStyle w:val="EndnoteReference"/>
          <w:rFonts w:ascii="Georgia" w:hAnsi="Georgia"/>
          <w:i/>
          <w:color w:val="003366"/>
          <w:sz w:val="20"/>
          <w:szCs w:val="20"/>
        </w:rPr>
        <w:endnoteReference w:id="8"/>
      </w:r>
    </w:p>
    <w:p w:rsidR="003D3582" w:rsidRDefault="003D3582" w:rsidP="00EA036A">
      <w:pPr>
        <w:pStyle w:val="Heading"/>
        <w:rPr>
          <w:rFonts w:ascii="Georgia" w:hAnsi="Georgia"/>
          <w:i/>
          <w:color w:val="003366"/>
          <w:sz w:val="20"/>
          <w:szCs w:val="20"/>
        </w:rPr>
      </w:pPr>
    </w:p>
    <w:p w:rsidR="003D3582" w:rsidRDefault="003D3582" w:rsidP="00EA036A">
      <w:pPr>
        <w:pStyle w:val="Heading"/>
        <w:rPr>
          <w:rFonts w:ascii="Georgia" w:hAnsi="Georgia"/>
          <w:i/>
          <w:color w:val="003366"/>
          <w:sz w:val="20"/>
          <w:szCs w:val="20"/>
        </w:rPr>
      </w:pPr>
    </w:p>
    <w:p w:rsidR="003D3582" w:rsidRPr="00C83D41" w:rsidRDefault="003D3582" w:rsidP="003D3582">
      <w:pPr>
        <w:pStyle w:val="Heading"/>
        <w:rPr>
          <w:color w:val="002060"/>
          <w:sz w:val="24"/>
          <w:szCs w:val="24"/>
        </w:rPr>
      </w:pPr>
      <w:r>
        <w:rPr>
          <w:color w:val="002060"/>
          <w:sz w:val="24"/>
          <w:szCs w:val="24"/>
        </w:rPr>
        <w:t>FDIC Clarifies</w:t>
      </w:r>
      <w:r w:rsidRPr="0041327A">
        <w:rPr>
          <w:color w:val="002060"/>
          <w:sz w:val="24"/>
          <w:szCs w:val="24"/>
        </w:rPr>
        <w:t xml:space="preserve"> Supervisory Approach to Relationships with Third-Party Payment Processors</w:t>
      </w:r>
      <w:r>
        <w:rPr>
          <w:color w:val="002060"/>
          <w:sz w:val="24"/>
          <w:szCs w:val="24"/>
        </w:rPr>
        <w:t xml:space="preserve"> </w:t>
      </w:r>
      <w:r w:rsidRPr="00C83D41">
        <w:rPr>
          <w:color w:val="002060"/>
          <w:sz w:val="24"/>
          <w:szCs w:val="24"/>
        </w:rPr>
        <w:br/>
      </w:r>
    </w:p>
    <w:p w:rsidR="003D3582" w:rsidRDefault="003D3582" w:rsidP="003D3582">
      <w:pPr>
        <w:pStyle w:val="Heading"/>
        <w:rPr>
          <w:rFonts w:ascii="Georgia" w:hAnsi="Georgia"/>
          <w:b w:val="0"/>
          <w:color w:val="auto"/>
          <w:sz w:val="24"/>
          <w:szCs w:val="24"/>
        </w:rPr>
      </w:pPr>
      <w:r>
        <w:rPr>
          <w:rFonts w:ascii="Georgia" w:hAnsi="Georgia"/>
          <w:b w:val="0"/>
          <w:color w:val="auto"/>
          <w:sz w:val="24"/>
          <w:szCs w:val="24"/>
        </w:rPr>
        <w:t>The FDIC clarified (</w:t>
      </w:r>
      <w:hyperlink r:id="rId30" w:history="1">
        <w:r w:rsidRPr="00422430">
          <w:rPr>
            <w:rStyle w:val="Hyperlink"/>
            <w:rFonts w:ascii="Georgia" w:hAnsi="Georgia" w:cs="Arial"/>
            <w:b w:val="0"/>
            <w:sz w:val="24"/>
            <w:szCs w:val="24"/>
          </w:rPr>
          <w:t>FIL-41-2014</w:t>
        </w:r>
      </w:hyperlink>
      <w:r>
        <w:rPr>
          <w:rStyle w:val="EndnoteReference"/>
          <w:rFonts w:ascii="Georgia" w:hAnsi="Georgia"/>
          <w:b w:val="0"/>
          <w:color w:val="auto"/>
          <w:sz w:val="24"/>
          <w:szCs w:val="24"/>
        </w:rPr>
        <w:endnoteReference w:id="9"/>
      </w:r>
      <w:r>
        <w:rPr>
          <w:rFonts w:ascii="Georgia" w:hAnsi="Georgia"/>
          <w:b w:val="0"/>
          <w:color w:val="auto"/>
          <w:sz w:val="24"/>
          <w:szCs w:val="24"/>
        </w:rPr>
        <w:t>)</w:t>
      </w:r>
      <w:r w:rsidRPr="00827479">
        <w:rPr>
          <w:rFonts w:ascii="Georgia" w:hAnsi="Georgia"/>
          <w:b w:val="0"/>
          <w:color w:val="auto"/>
          <w:sz w:val="24"/>
          <w:szCs w:val="24"/>
        </w:rPr>
        <w:t xml:space="preserve"> its supervisory approach to institutions establishing account relationships with third-party payment processors (TPPPs). As part of its regular safety and soundness examination activities, the FDIC reviews and assesses the extent to which institutions having account relationships with TPPPs follow the outstanding guidance. FDIC guidance and an informational article contained lists of examples of merchant categories that had been associated by the payments industry with higher-risk activity when the guidance and article were released. </w:t>
      </w:r>
    </w:p>
    <w:p w:rsidR="003D3582" w:rsidRDefault="003D3582" w:rsidP="003D3582">
      <w:pPr>
        <w:pStyle w:val="Heading"/>
        <w:rPr>
          <w:rFonts w:ascii="Georgia" w:hAnsi="Georgia"/>
          <w:b w:val="0"/>
          <w:color w:val="auto"/>
          <w:sz w:val="24"/>
          <w:szCs w:val="24"/>
        </w:rPr>
      </w:pPr>
    </w:p>
    <w:p w:rsidR="003D3582" w:rsidRPr="00827479" w:rsidRDefault="003D3582" w:rsidP="003D3582">
      <w:pPr>
        <w:pStyle w:val="Heading"/>
        <w:rPr>
          <w:rFonts w:ascii="Georgia" w:hAnsi="Georgia"/>
          <w:b w:val="0"/>
          <w:color w:val="auto"/>
          <w:sz w:val="24"/>
          <w:szCs w:val="24"/>
        </w:rPr>
      </w:pPr>
      <w:r w:rsidRPr="00827479">
        <w:rPr>
          <w:rFonts w:ascii="Georgia" w:hAnsi="Georgia"/>
          <w:b w:val="0"/>
          <w:color w:val="auto"/>
          <w:sz w:val="24"/>
          <w:szCs w:val="24"/>
        </w:rPr>
        <w:t>The lists of examples of merchant categories have led to misunderstandings regarding the FDIC's supervisory approach to TPPPs, creating the misperception that the listed examples of merchant categories were prohibited or discouraged. In fact, it is FDIC's policy that insured institutions that properly manage customer relationships are neither prohibited nor discouraged from providing services to any customer operating in compliance with applicable law. Accordingly, the FDIC is clarifying its guidance to reinforce this approach, and as part of this clarification, the FDIC is removing the lists of examples of merchant categories from its official guidance and informational article.</w:t>
      </w:r>
    </w:p>
    <w:p w:rsidR="003D3582" w:rsidRDefault="003D3582" w:rsidP="003D3582">
      <w:pPr>
        <w:pStyle w:val="Heading"/>
        <w:rPr>
          <w:rFonts w:ascii="Georgia" w:hAnsi="Georgia"/>
          <w:b w:val="0"/>
          <w:color w:val="auto"/>
          <w:sz w:val="24"/>
          <w:szCs w:val="24"/>
        </w:rPr>
      </w:pPr>
    </w:p>
    <w:p w:rsidR="003D3582" w:rsidRPr="00827479" w:rsidRDefault="003D3582" w:rsidP="003D3582">
      <w:pPr>
        <w:pStyle w:val="Heading"/>
        <w:rPr>
          <w:rFonts w:ascii="Georgia" w:hAnsi="Georgia"/>
          <w:b w:val="0"/>
          <w:color w:val="auto"/>
          <w:sz w:val="24"/>
          <w:szCs w:val="24"/>
        </w:rPr>
      </w:pPr>
      <w:r w:rsidRPr="00827479">
        <w:rPr>
          <w:rFonts w:ascii="Georgia" w:hAnsi="Georgia"/>
          <w:b w:val="0"/>
          <w:color w:val="auto"/>
          <w:sz w:val="24"/>
          <w:szCs w:val="24"/>
        </w:rPr>
        <w:t>The focus of the FDIC's supervisory approach to institutions establishing account relationships with TPPPs is to ensure institutions have adequate procedures for conducting due diligence, underwriting, and ongoing monitoring of these relationships. When an institution is following the outstanding guidance, it will not be criticized for establishing and maintaining relationships with TPPPs.</w:t>
      </w:r>
    </w:p>
    <w:p w:rsidR="003D3582" w:rsidRDefault="003D3582" w:rsidP="003D3582">
      <w:pPr>
        <w:pStyle w:val="Heading"/>
        <w:rPr>
          <w:rFonts w:ascii="Georgia" w:hAnsi="Georgia"/>
          <w:b w:val="0"/>
          <w:color w:val="auto"/>
          <w:sz w:val="24"/>
          <w:szCs w:val="24"/>
        </w:rPr>
      </w:pPr>
    </w:p>
    <w:p w:rsidR="003D3582" w:rsidRPr="00827479" w:rsidRDefault="003D3582" w:rsidP="003D3582">
      <w:pPr>
        <w:pStyle w:val="Heading"/>
        <w:rPr>
          <w:rFonts w:ascii="Georgia" w:hAnsi="Georgia"/>
          <w:b w:val="0"/>
          <w:color w:val="auto"/>
          <w:sz w:val="24"/>
          <w:szCs w:val="24"/>
        </w:rPr>
      </w:pPr>
      <w:r w:rsidRPr="00827479">
        <w:rPr>
          <w:rFonts w:ascii="Georgia" w:hAnsi="Georgia"/>
          <w:b w:val="0"/>
          <w:color w:val="auto"/>
          <w:sz w:val="24"/>
          <w:szCs w:val="24"/>
        </w:rPr>
        <w:t>It is the FDIC's policy that insured institutions that properly manage customer relationships are neither prohibited nor discouraged from providing services to any customer operating in compliance with applicable law.</w:t>
      </w:r>
    </w:p>
    <w:p w:rsidR="003D3582" w:rsidRDefault="003D3582" w:rsidP="003D3582">
      <w:pPr>
        <w:pStyle w:val="Heading"/>
        <w:rPr>
          <w:rFonts w:ascii="Georgia" w:hAnsi="Georgia"/>
          <w:b w:val="0"/>
          <w:color w:val="auto"/>
          <w:sz w:val="24"/>
          <w:szCs w:val="24"/>
        </w:rPr>
      </w:pPr>
      <w:r>
        <w:rPr>
          <w:rFonts w:ascii="Georgia" w:hAnsi="Georgia"/>
          <w:b w:val="0"/>
          <w:color w:val="auto"/>
          <w:sz w:val="24"/>
          <w:szCs w:val="24"/>
        </w:rPr>
        <w:t>The FDIC reissued</w:t>
      </w:r>
      <w:r w:rsidRPr="00827479">
        <w:rPr>
          <w:rFonts w:ascii="Georgia" w:hAnsi="Georgia"/>
          <w:b w:val="0"/>
          <w:color w:val="auto"/>
          <w:sz w:val="24"/>
          <w:szCs w:val="24"/>
        </w:rPr>
        <w:t xml:space="preserve"> guidance (</w:t>
      </w:r>
      <w:hyperlink r:id="rId31" w:history="1">
        <w:r w:rsidRPr="00C15991">
          <w:rPr>
            <w:rStyle w:val="Hyperlink"/>
            <w:rFonts w:ascii="Georgia" w:hAnsi="Georgia" w:cs="Arial"/>
            <w:b w:val="0"/>
            <w:sz w:val="24"/>
            <w:szCs w:val="24"/>
          </w:rPr>
          <w:t>FIL-127-2008</w:t>
        </w:r>
      </w:hyperlink>
      <w:r>
        <w:rPr>
          <w:rStyle w:val="EndnoteReference"/>
          <w:rFonts w:ascii="Georgia" w:hAnsi="Georgia"/>
          <w:b w:val="0"/>
          <w:color w:val="auto"/>
          <w:sz w:val="24"/>
          <w:szCs w:val="24"/>
        </w:rPr>
        <w:endnoteReference w:id="10"/>
      </w:r>
      <w:r w:rsidRPr="00827479">
        <w:rPr>
          <w:rFonts w:ascii="Georgia" w:hAnsi="Georgia"/>
          <w:b w:val="0"/>
          <w:color w:val="auto"/>
          <w:sz w:val="24"/>
          <w:szCs w:val="24"/>
        </w:rPr>
        <w:t xml:space="preserve">, Guidance on Payment Processor Relationships; </w:t>
      </w:r>
      <w:hyperlink r:id="rId32" w:history="1">
        <w:r w:rsidRPr="00F35F8B">
          <w:rPr>
            <w:rStyle w:val="Hyperlink"/>
            <w:rFonts w:ascii="Georgia" w:hAnsi="Georgia" w:cs="Arial"/>
            <w:b w:val="0"/>
            <w:sz w:val="24"/>
            <w:szCs w:val="24"/>
          </w:rPr>
          <w:t>FIL-3-2012</w:t>
        </w:r>
      </w:hyperlink>
      <w:r>
        <w:rPr>
          <w:rStyle w:val="EndnoteReference"/>
          <w:rFonts w:ascii="Georgia" w:hAnsi="Georgia"/>
          <w:b w:val="0"/>
          <w:color w:val="auto"/>
          <w:sz w:val="24"/>
          <w:szCs w:val="24"/>
        </w:rPr>
        <w:endnoteReference w:id="11"/>
      </w:r>
      <w:r w:rsidRPr="00827479">
        <w:rPr>
          <w:rFonts w:ascii="Georgia" w:hAnsi="Georgia"/>
          <w:b w:val="0"/>
          <w:color w:val="auto"/>
          <w:sz w:val="24"/>
          <w:szCs w:val="24"/>
        </w:rPr>
        <w:t xml:space="preserve">, Payment Processor Relationships, Revised Guidance; and </w:t>
      </w:r>
      <w:hyperlink r:id="rId33" w:history="1">
        <w:r w:rsidRPr="00466E31">
          <w:rPr>
            <w:rStyle w:val="Hyperlink"/>
            <w:rFonts w:ascii="Georgia" w:hAnsi="Georgia" w:cs="Arial"/>
            <w:b w:val="0"/>
            <w:sz w:val="24"/>
            <w:szCs w:val="24"/>
          </w:rPr>
          <w:t>FIL-43-2013</w:t>
        </w:r>
      </w:hyperlink>
      <w:r>
        <w:rPr>
          <w:rStyle w:val="EndnoteReference"/>
          <w:rFonts w:ascii="Georgia" w:hAnsi="Georgia"/>
          <w:b w:val="0"/>
          <w:color w:val="auto"/>
          <w:sz w:val="24"/>
          <w:szCs w:val="24"/>
        </w:rPr>
        <w:endnoteReference w:id="12"/>
      </w:r>
      <w:r w:rsidRPr="00827479">
        <w:rPr>
          <w:rFonts w:ascii="Georgia" w:hAnsi="Georgia"/>
          <w:b w:val="0"/>
          <w:color w:val="auto"/>
          <w:sz w:val="24"/>
          <w:szCs w:val="24"/>
        </w:rPr>
        <w:t>, FDIC Supervisory Approach to Payment Processing Relationships With Merchant Customers That Engage in Higher-Risk Activities) and an informational article, "</w:t>
      </w:r>
      <w:hyperlink r:id="rId34" w:history="1">
        <w:r w:rsidRPr="00466E31">
          <w:rPr>
            <w:rStyle w:val="Hyperlink"/>
            <w:rFonts w:ascii="Georgia" w:hAnsi="Georgia" w:cs="Arial"/>
            <w:b w:val="0"/>
            <w:sz w:val="24"/>
            <w:szCs w:val="24"/>
          </w:rPr>
          <w:t>Managing Risks in Third-Party Payment Processor Relationships</w:t>
        </w:r>
      </w:hyperlink>
      <w:r>
        <w:rPr>
          <w:rStyle w:val="EndnoteReference"/>
          <w:rFonts w:ascii="Georgia" w:hAnsi="Georgia"/>
          <w:b w:val="0"/>
          <w:color w:val="auto"/>
          <w:sz w:val="24"/>
          <w:szCs w:val="24"/>
        </w:rPr>
        <w:endnoteReference w:id="13"/>
      </w:r>
      <w:r w:rsidRPr="00827479">
        <w:rPr>
          <w:rFonts w:ascii="Georgia" w:hAnsi="Georgia"/>
          <w:b w:val="0"/>
          <w:color w:val="auto"/>
          <w:sz w:val="24"/>
          <w:szCs w:val="24"/>
        </w:rPr>
        <w:t>," Summer 2011, Supervisory Insights, to remove lists of examples of merchant categories.</w:t>
      </w:r>
    </w:p>
    <w:p w:rsidR="003D3582" w:rsidRDefault="003D3582" w:rsidP="003D3582">
      <w:pPr>
        <w:pStyle w:val="Heading"/>
        <w:rPr>
          <w:rFonts w:ascii="Georgia" w:hAnsi="Georgia"/>
          <w:b w:val="0"/>
          <w:color w:val="auto"/>
          <w:sz w:val="24"/>
          <w:szCs w:val="24"/>
        </w:rPr>
      </w:pPr>
    </w:p>
    <w:p w:rsidR="003D3582" w:rsidRPr="00466E31" w:rsidRDefault="003D3582" w:rsidP="003D3582">
      <w:pPr>
        <w:pStyle w:val="Heading"/>
        <w:rPr>
          <w:rStyle w:val="Hyperlink"/>
          <w:rFonts w:ascii="Georgia" w:hAnsi="Georgia" w:cs="Arial"/>
          <w:b w:val="0"/>
          <w:sz w:val="24"/>
          <w:szCs w:val="24"/>
        </w:rPr>
      </w:pPr>
      <w:r>
        <w:rPr>
          <w:rFonts w:ascii="Georgia" w:hAnsi="Georgia"/>
          <w:b w:val="0"/>
          <w:color w:val="auto"/>
          <w:sz w:val="24"/>
          <w:szCs w:val="24"/>
        </w:rPr>
        <w:t xml:space="preserve">Related topic: </w:t>
      </w:r>
      <w:r w:rsidR="00C34789">
        <w:rPr>
          <w:rFonts w:ascii="Georgia" w:hAnsi="Georgia"/>
          <w:b w:val="0"/>
          <w:color w:val="auto"/>
          <w:sz w:val="24"/>
          <w:szCs w:val="24"/>
        </w:rPr>
        <w:fldChar w:fldCharType="begin"/>
      </w:r>
      <w:r>
        <w:rPr>
          <w:rFonts w:ascii="Georgia" w:hAnsi="Georgia"/>
          <w:b w:val="0"/>
          <w:color w:val="auto"/>
          <w:sz w:val="24"/>
          <w:szCs w:val="24"/>
        </w:rPr>
        <w:instrText xml:space="preserve"> HYPERLINK "http://www.ffiec.gov/bsa_aml_infobase/pages_manual/OLM_063.htm" </w:instrText>
      </w:r>
      <w:r w:rsidR="00C34789">
        <w:rPr>
          <w:rFonts w:ascii="Georgia" w:hAnsi="Georgia"/>
          <w:b w:val="0"/>
          <w:color w:val="auto"/>
          <w:sz w:val="24"/>
          <w:szCs w:val="24"/>
        </w:rPr>
        <w:fldChar w:fldCharType="separate"/>
      </w:r>
      <w:r w:rsidRPr="00466E31">
        <w:rPr>
          <w:rStyle w:val="Hyperlink"/>
          <w:rFonts w:ascii="Georgia" w:hAnsi="Georgia" w:cs="Arial"/>
          <w:b w:val="0"/>
          <w:sz w:val="24"/>
          <w:szCs w:val="24"/>
        </w:rPr>
        <w:t xml:space="preserve">The FFIEC Bank Secrecy Act/Anti-Money Laundering (BSA/AML) </w:t>
      </w:r>
    </w:p>
    <w:p w:rsidR="00EA036A" w:rsidRDefault="003D3582" w:rsidP="003D3582">
      <w:pPr>
        <w:pStyle w:val="Heading"/>
        <w:rPr>
          <w:rFonts w:ascii="Georgia" w:hAnsi="Georgia"/>
          <w:b w:val="0"/>
          <w:color w:val="auto"/>
          <w:sz w:val="24"/>
          <w:szCs w:val="24"/>
        </w:rPr>
      </w:pPr>
      <w:r w:rsidRPr="00466E31">
        <w:rPr>
          <w:rStyle w:val="Hyperlink"/>
          <w:rFonts w:ascii="Georgia" w:hAnsi="Georgia" w:cs="Arial"/>
          <w:b w:val="0"/>
          <w:sz w:val="24"/>
          <w:szCs w:val="24"/>
        </w:rPr>
        <w:t>Examination Manual</w:t>
      </w:r>
      <w:r w:rsidR="00C34789">
        <w:rPr>
          <w:rFonts w:ascii="Georgia" w:hAnsi="Georgia"/>
          <w:b w:val="0"/>
          <w:color w:val="auto"/>
          <w:sz w:val="24"/>
          <w:szCs w:val="24"/>
        </w:rPr>
        <w:fldChar w:fldCharType="end"/>
      </w:r>
    </w:p>
    <w:p w:rsidR="00677065" w:rsidRDefault="00677065" w:rsidP="003D3582">
      <w:pPr>
        <w:pStyle w:val="Heading"/>
        <w:rPr>
          <w:rFonts w:ascii="Georgia" w:hAnsi="Georgia"/>
          <w:b w:val="0"/>
          <w:color w:val="auto"/>
          <w:sz w:val="24"/>
          <w:szCs w:val="24"/>
        </w:rPr>
      </w:pPr>
    </w:p>
    <w:p w:rsidR="00677065" w:rsidRPr="001220D7" w:rsidRDefault="00677065" w:rsidP="00677065">
      <w:pPr>
        <w:rPr>
          <w:rFonts w:ascii="Georgia" w:hAnsi="Georgia" w:cs="Arial"/>
          <w:b/>
          <w:i/>
          <w:color w:val="002060"/>
          <w:sz w:val="20"/>
          <w:szCs w:val="20"/>
        </w:rPr>
      </w:pPr>
      <w:r w:rsidRPr="001220D7">
        <w:rPr>
          <w:rFonts w:ascii="Georgia" w:hAnsi="Georgia" w:cs="Arial"/>
          <w:b/>
          <w:i/>
          <w:color w:val="002060"/>
          <w:sz w:val="20"/>
          <w:szCs w:val="20"/>
        </w:rPr>
        <w:t>Comment:</w:t>
      </w:r>
      <w:r w:rsidRPr="001220D7">
        <w:rPr>
          <w:color w:val="002060"/>
        </w:rPr>
        <w:t xml:space="preserve"> </w:t>
      </w:r>
      <w:r w:rsidRPr="001220D7">
        <w:rPr>
          <w:b/>
          <w:i/>
          <w:color w:val="002060"/>
        </w:rPr>
        <w:t xml:space="preserve">Distribute to your </w:t>
      </w:r>
      <w:r w:rsidRPr="001220D7">
        <w:rPr>
          <w:rFonts w:ascii="Georgia" w:hAnsi="Georgia" w:cs="Arial"/>
          <w:b/>
          <w:i/>
          <w:color w:val="002060"/>
          <w:sz w:val="20"/>
          <w:szCs w:val="20"/>
        </w:rPr>
        <w:t>Board of Directors, Chief Executive Officer, Senior Executive Officers, Chief Loan Officer, Chief Information Technology Officer, Bank Secrecy Act Officer</w:t>
      </w:r>
    </w:p>
    <w:p w:rsidR="00677065" w:rsidRPr="00EE562B" w:rsidRDefault="00677065" w:rsidP="003D3582">
      <w:pPr>
        <w:pStyle w:val="Heading"/>
        <w:rPr>
          <w:rFonts w:ascii="Georgia" w:hAnsi="Georgia"/>
          <w:b w:val="0"/>
          <w:color w:val="auto"/>
          <w:sz w:val="24"/>
          <w:szCs w:val="24"/>
        </w:rPr>
      </w:pPr>
    </w:p>
    <w:p w:rsidR="00EA036A" w:rsidRDefault="00EA036A" w:rsidP="00EA036A">
      <w:pPr>
        <w:pStyle w:val="Heading"/>
        <w:rPr>
          <w:color w:val="auto"/>
          <w:sz w:val="24"/>
          <w:szCs w:val="24"/>
        </w:rPr>
      </w:pPr>
    </w:p>
    <w:p w:rsidR="00EA036A" w:rsidRPr="00C83D41" w:rsidRDefault="009C14B2" w:rsidP="00EA036A">
      <w:pPr>
        <w:pStyle w:val="Heading"/>
        <w:rPr>
          <w:color w:val="002060"/>
          <w:sz w:val="24"/>
          <w:szCs w:val="24"/>
        </w:rPr>
      </w:pPr>
      <w:r>
        <w:rPr>
          <w:color w:val="002060"/>
          <w:sz w:val="24"/>
          <w:szCs w:val="24"/>
        </w:rPr>
        <w:lastRenderedPageBreak/>
        <w:t>FDIC issues FIL on S-Corporation banks’ dividends</w:t>
      </w:r>
      <w:r w:rsidR="00EA036A" w:rsidRPr="00C83D41">
        <w:rPr>
          <w:color w:val="002060"/>
          <w:sz w:val="24"/>
          <w:szCs w:val="24"/>
        </w:rPr>
        <w:br/>
      </w:r>
    </w:p>
    <w:p w:rsidR="00EA036A" w:rsidRDefault="009C14B2" w:rsidP="00EA036A">
      <w:pPr>
        <w:pStyle w:val="Heading"/>
        <w:rPr>
          <w:color w:val="auto"/>
          <w:sz w:val="24"/>
          <w:szCs w:val="24"/>
        </w:rPr>
      </w:pPr>
      <w:r>
        <w:rPr>
          <w:rFonts w:ascii="Georgia" w:hAnsi="Georgia"/>
          <w:b w:val="0"/>
          <w:color w:val="auto"/>
          <w:sz w:val="24"/>
          <w:szCs w:val="24"/>
        </w:rPr>
        <w:t xml:space="preserve">The FDIC’s Financial Institution Letter </w:t>
      </w:r>
      <w:hyperlink r:id="rId35" w:history="1">
        <w:r w:rsidRPr="009C14B2">
          <w:rPr>
            <w:rStyle w:val="Hyperlink"/>
            <w:rFonts w:ascii="Georgia" w:hAnsi="Georgia" w:cs="Arial"/>
            <w:b w:val="0"/>
            <w:sz w:val="24"/>
            <w:szCs w:val="24"/>
          </w:rPr>
          <w:t>FIL-40-2014</w:t>
        </w:r>
      </w:hyperlink>
      <w:r>
        <w:rPr>
          <w:rStyle w:val="EndnoteReference"/>
          <w:rFonts w:ascii="Georgia" w:hAnsi="Georgia"/>
          <w:b w:val="0"/>
          <w:color w:val="auto"/>
          <w:sz w:val="24"/>
          <w:szCs w:val="24"/>
        </w:rPr>
        <w:endnoteReference w:id="14"/>
      </w:r>
      <w:r w:rsidRPr="009C14B2">
        <w:rPr>
          <w:rFonts w:ascii="Georgia" w:hAnsi="Georgia"/>
          <w:b w:val="0"/>
          <w:color w:val="auto"/>
          <w:sz w:val="24"/>
          <w:szCs w:val="24"/>
        </w:rPr>
        <w:t xml:space="preserve"> </w:t>
      </w:r>
      <w:r>
        <w:rPr>
          <w:rFonts w:ascii="Georgia" w:hAnsi="Georgia"/>
          <w:b w:val="0"/>
          <w:color w:val="auto"/>
          <w:sz w:val="24"/>
          <w:szCs w:val="24"/>
        </w:rPr>
        <w:t xml:space="preserve">(FIL) </w:t>
      </w:r>
      <w:r w:rsidRPr="009C14B2">
        <w:rPr>
          <w:rFonts w:ascii="Georgia" w:hAnsi="Georgia"/>
          <w:b w:val="0"/>
          <w:color w:val="auto"/>
          <w:sz w:val="24"/>
          <w:szCs w:val="24"/>
        </w:rPr>
        <w:t>describes how the FDIC will consider requests from S-corporation banks or savings associations to pay dividends to shareholders to cover taxes on their pass-through share of the bank's earnings, when these dividends would otherwise not be permitted under the capital conservation buffer requirements in the Basel III rule. As described in more detail in this FIL, absent significant safety-and-soundness concerns about the requesting bank, the FDIC generally would expect to approve exception requests by well-rated S-corporation banks that are limited to the payment of dividends to cover shareholders' taxes on their portion of an S-corporation's earnings.</w:t>
      </w:r>
    </w:p>
    <w:p w:rsidR="00EA036A" w:rsidRDefault="00EA036A" w:rsidP="00EA036A">
      <w:pPr>
        <w:pStyle w:val="Heading"/>
        <w:rPr>
          <w:rFonts w:ascii="Georgia" w:hAnsi="Georgia"/>
          <w:i/>
          <w:color w:val="003366"/>
          <w:sz w:val="20"/>
          <w:szCs w:val="20"/>
        </w:rPr>
      </w:pPr>
    </w:p>
    <w:p w:rsidR="000D18DC" w:rsidRPr="000D18DC" w:rsidRDefault="000D18DC" w:rsidP="000D18DC">
      <w:pPr>
        <w:pStyle w:val="Heading"/>
        <w:rPr>
          <w:rFonts w:ascii="Georgia" w:hAnsi="Georgia"/>
          <w:i/>
          <w:color w:val="002060"/>
          <w:sz w:val="20"/>
          <w:szCs w:val="20"/>
        </w:rPr>
      </w:pPr>
      <w:r w:rsidRPr="000D18DC">
        <w:rPr>
          <w:rFonts w:ascii="Georgia" w:hAnsi="Georgia"/>
          <w:i/>
          <w:color w:val="002060"/>
          <w:sz w:val="20"/>
          <w:szCs w:val="20"/>
        </w:rPr>
        <w:t>Comment:</w:t>
      </w:r>
      <w:r>
        <w:rPr>
          <w:rFonts w:ascii="Georgia" w:hAnsi="Georgia"/>
          <w:i/>
          <w:color w:val="002060"/>
          <w:sz w:val="20"/>
          <w:szCs w:val="20"/>
        </w:rPr>
        <w:t xml:space="preserve"> The FIL details how the FDIC</w:t>
      </w:r>
      <w:r w:rsidRPr="000D18DC">
        <w:rPr>
          <w:rFonts w:ascii="Georgia" w:hAnsi="Georgia"/>
          <w:i/>
          <w:color w:val="002060"/>
          <w:sz w:val="20"/>
          <w:szCs w:val="20"/>
        </w:rPr>
        <w:t xml:space="preserve"> will consider requests to pay dividends to shareholders to cover taxes on their pass-through share of the bank's earnings, when these dividends would otherwise not be permitted under the capital conservation buffer requirements in the Basel III rule.</w:t>
      </w:r>
    </w:p>
    <w:p w:rsidR="000D18DC" w:rsidRPr="000D18DC" w:rsidRDefault="000D18DC" w:rsidP="000D18DC">
      <w:pPr>
        <w:pStyle w:val="Heading"/>
        <w:rPr>
          <w:rFonts w:ascii="Georgia" w:hAnsi="Georgia"/>
          <w:i/>
          <w:color w:val="002060"/>
          <w:sz w:val="20"/>
          <w:szCs w:val="20"/>
        </w:rPr>
      </w:pPr>
    </w:p>
    <w:p w:rsidR="000D18DC" w:rsidRPr="000D18DC" w:rsidRDefault="000D18DC" w:rsidP="000D18DC">
      <w:pPr>
        <w:pStyle w:val="Heading"/>
        <w:rPr>
          <w:rFonts w:ascii="Georgia" w:hAnsi="Georgia"/>
          <w:i/>
          <w:color w:val="002060"/>
          <w:sz w:val="20"/>
          <w:szCs w:val="20"/>
        </w:rPr>
      </w:pPr>
      <w:r w:rsidRPr="000D18DC">
        <w:rPr>
          <w:rFonts w:ascii="Georgia" w:hAnsi="Georgia"/>
          <w:i/>
          <w:color w:val="002060"/>
          <w:sz w:val="20"/>
          <w:szCs w:val="20"/>
        </w:rPr>
        <w:t>The letter emphasized that decisions on dividend payments will be evaluated on a case-by-case basis with consideration of the following facts and circumstances:</w:t>
      </w:r>
    </w:p>
    <w:p w:rsidR="000D18DC" w:rsidRPr="000D18DC" w:rsidRDefault="000D18DC" w:rsidP="000D18DC">
      <w:pPr>
        <w:pStyle w:val="Heading"/>
        <w:rPr>
          <w:rFonts w:ascii="Georgia" w:hAnsi="Georgia"/>
          <w:i/>
          <w:color w:val="002060"/>
          <w:sz w:val="20"/>
          <w:szCs w:val="20"/>
        </w:rPr>
      </w:pPr>
    </w:p>
    <w:p w:rsidR="000D18DC" w:rsidRPr="000D18DC" w:rsidRDefault="000D18DC" w:rsidP="000D18DC">
      <w:pPr>
        <w:pStyle w:val="Heading"/>
        <w:numPr>
          <w:ilvl w:val="0"/>
          <w:numId w:val="45"/>
        </w:numPr>
        <w:rPr>
          <w:rFonts w:ascii="Georgia" w:hAnsi="Georgia"/>
          <w:i/>
          <w:color w:val="002060"/>
          <w:sz w:val="20"/>
          <w:szCs w:val="20"/>
        </w:rPr>
      </w:pPr>
      <w:r w:rsidRPr="000D18DC">
        <w:rPr>
          <w:rFonts w:ascii="Georgia" w:hAnsi="Georgia"/>
          <w:i/>
          <w:color w:val="002060"/>
          <w:sz w:val="20"/>
          <w:szCs w:val="20"/>
        </w:rPr>
        <w:t>Is the S-corporation requesting a dividend of no more than 40 percent of net income?</w:t>
      </w:r>
    </w:p>
    <w:p w:rsidR="000D18DC" w:rsidRPr="000D18DC" w:rsidRDefault="000D18DC" w:rsidP="000D18DC">
      <w:pPr>
        <w:pStyle w:val="Heading"/>
        <w:numPr>
          <w:ilvl w:val="0"/>
          <w:numId w:val="45"/>
        </w:numPr>
        <w:rPr>
          <w:rFonts w:ascii="Georgia" w:hAnsi="Georgia"/>
          <w:i/>
          <w:color w:val="002060"/>
          <w:sz w:val="20"/>
          <w:szCs w:val="20"/>
        </w:rPr>
      </w:pPr>
      <w:r w:rsidRPr="000D18DC">
        <w:rPr>
          <w:rFonts w:ascii="Georgia" w:hAnsi="Georgia"/>
          <w:i/>
          <w:color w:val="002060"/>
          <w:sz w:val="20"/>
          <w:szCs w:val="20"/>
        </w:rPr>
        <w:t>Does the requesting S-corporation believe the dividend payment is necessary to allow the shareholders of the bank to pay income taxes associated with their pass-through share of the institution’s earnings?</w:t>
      </w:r>
    </w:p>
    <w:p w:rsidR="000D18DC" w:rsidRPr="000D18DC" w:rsidRDefault="000D18DC" w:rsidP="000D18DC">
      <w:pPr>
        <w:pStyle w:val="Heading"/>
        <w:numPr>
          <w:ilvl w:val="0"/>
          <w:numId w:val="45"/>
        </w:numPr>
        <w:rPr>
          <w:rFonts w:ascii="Georgia" w:hAnsi="Georgia"/>
          <w:i/>
          <w:color w:val="002060"/>
          <w:sz w:val="20"/>
          <w:szCs w:val="20"/>
        </w:rPr>
      </w:pPr>
      <w:r w:rsidRPr="000D18DC">
        <w:rPr>
          <w:rFonts w:ascii="Georgia" w:hAnsi="Georgia"/>
          <w:i/>
          <w:color w:val="002060"/>
          <w:sz w:val="20"/>
          <w:szCs w:val="20"/>
        </w:rPr>
        <w:t>Is the requesting S-corporation bank rated 1 or 2 under the Uniform Financial Institutions Rating System and not subject to a written supervisory directive?</w:t>
      </w:r>
    </w:p>
    <w:p w:rsidR="000D18DC" w:rsidRPr="000D18DC" w:rsidRDefault="000D18DC" w:rsidP="000D18DC">
      <w:pPr>
        <w:pStyle w:val="Heading"/>
        <w:numPr>
          <w:ilvl w:val="0"/>
          <w:numId w:val="45"/>
        </w:numPr>
        <w:rPr>
          <w:rFonts w:ascii="Georgia" w:hAnsi="Georgia"/>
          <w:i/>
          <w:color w:val="003366"/>
          <w:sz w:val="20"/>
          <w:szCs w:val="20"/>
        </w:rPr>
      </w:pPr>
      <w:r w:rsidRPr="000D18DC">
        <w:rPr>
          <w:rFonts w:ascii="Georgia" w:hAnsi="Georgia"/>
          <w:i/>
          <w:color w:val="002060"/>
          <w:sz w:val="20"/>
          <w:szCs w:val="20"/>
        </w:rPr>
        <w:t>Is the requesting S-corporation bank at least adequately capitalized, and would it remain adequately capitalized after the requested dividend? (If not, the dividend is not permitted pursuant to statutory PCA, 12 U.S.C. § 1831o(d)(1)(A).)</w:t>
      </w:r>
    </w:p>
    <w:p w:rsidR="00FD43A6" w:rsidRDefault="00FD43A6" w:rsidP="00EA036A">
      <w:pPr>
        <w:pStyle w:val="Heading"/>
        <w:rPr>
          <w:rFonts w:ascii="Georgia" w:hAnsi="Georgia"/>
          <w:i/>
          <w:color w:val="003366"/>
          <w:sz w:val="20"/>
          <w:szCs w:val="20"/>
        </w:rPr>
      </w:pPr>
    </w:p>
    <w:p w:rsidR="0044599B" w:rsidRDefault="0044599B" w:rsidP="00EA036A">
      <w:pPr>
        <w:pStyle w:val="Heading"/>
        <w:rPr>
          <w:rFonts w:ascii="Georgia" w:hAnsi="Georgia"/>
          <w:i/>
          <w:color w:val="003366"/>
          <w:sz w:val="20"/>
          <w:szCs w:val="20"/>
        </w:rPr>
      </w:pPr>
    </w:p>
    <w:p w:rsidR="003D3582" w:rsidRDefault="000E6A0E" w:rsidP="00EA036A">
      <w:pPr>
        <w:pStyle w:val="Heading"/>
        <w:rPr>
          <w:rFonts w:ascii="Georgia" w:hAnsi="Georgia"/>
          <w:i/>
          <w:color w:val="003366"/>
          <w:sz w:val="20"/>
          <w:szCs w:val="20"/>
        </w:rPr>
      </w:pPr>
      <w:r>
        <w:rPr>
          <w:b w:val="0"/>
          <w:color w:val="006600"/>
          <w:sz w:val="36"/>
          <w:szCs w:val="36"/>
        </w:rPr>
        <w:t>OCC</w:t>
      </w:r>
    </w:p>
    <w:p w:rsidR="000E6A0E" w:rsidRDefault="000E6A0E" w:rsidP="003D3582">
      <w:pPr>
        <w:pStyle w:val="Heading"/>
        <w:rPr>
          <w:color w:val="002060"/>
          <w:sz w:val="24"/>
          <w:szCs w:val="24"/>
        </w:rPr>
      </w:pPr>
    </w:p>
    <w:p w:rsidR="003D3582" w:rsidRDefault="003D3582" w:rsidP="003D3582">
      <w:pPr>
        <w:pStyle w:val="Heading"/>
        <w:rPr>
          <w:rFonts w:ascii="Georgia" w:hAnsi="Georgia"/>
          <w:b w:val="0"/>
          <w:color w:val="auto"/>
          <w:sz w:val="24"/>
          <w:szCs w:val="24"/>
        </w:rPr>
      </w:pPr>
      <w:r>
        <w:rPr>
          <w:color w:val="002060"/>
          <w:sz w:val="24"/>
          <w:szCs w:val="24"/>
        </w:rPr>
        <w:t xml:space="preserve">OCC issues </w:t>
      </w:r>
      <w:r w:rsidRPr="003A0C93">
        <w:rPr>
          <w:i/>
          <w:color w:val="002060"/>
          <w:sz w:val="24"/>
          <w:szCs w:val="24"/>
        </w:rPr>
        <w:t>Lease Financing</w:t>
      </w:r>
      <w:r>
        <w:rPr>
          <w:color w:val="002060"/>
          <w:sz w:val="24"/>
          <w:szCs w:val="24"/>
        </w:rPr>
        <w:t xml:space="preserve"> booklet</w:t>
      </w:r>
    </w:p>
    <w:p w:rsidR="003D3582" w:rsidRDefault="003D3582" w:rsidP="003D3582">
      <w:pPr>
        <w:pStyle w:val="Heading"/>
        <w:rPr>
          <w:rFonts w:ascii="Georgia" w:hAnsi="Georgia"/>
          <w:b w:val="0"/>
          <w:color w:val="auto"/>
          <w:sz w:val="24"/>
          <w:szCs w:val="24"/>
        </w:rPr>
      </w:pPr>
    </w:p>
    <w:p w:rsidR="003D3582" w:rsidRDefault="003D3582" w:rsidP="003D3582">
      <w:pPr>
        <w:rPr>
          <w:rFonts w:ascii="Georgia" w:hAnsi="Georgia" w:cs="Arial"/>
          <w:b/>
          <w:i/>
          <w:color w:val="003366"/>
          <w:sz w:val="20"/>
          <w:szCs w:val="20"/>
        </w:rPr>
      </w:pPr>
      <w:r w:rsidRPr="00BF08B2">
        <w:rPr>
          <w:rFonts w:ascii="Georgia" w:hAnsi="Georgia" w:cs="Arial"/>
        </w:rPr>
        <w:t xml:space="preserve">The </w:t>
      </w:r>
      <w:r>
        <w:rPr>
          <w:rFonts w:ascii="Georgia" w:hAnsi="Georgia" w:cs="Arial"/>
        </w:rPr>
        <w:t>OCC issued</w:t>
      </w:r>
      <w:r w:rsidRPr="00BF08B2">
        <w:rPr>
          <w:rFonts w:ascii="Georgia" w:hAnsi="Georgia" w:cs="Arial"/>
        </w:rPr>
        <w:t xml:space="preserve"> the “</w:t>
      </w:r>
      <w:hyperlink r:id="rId36" w:history="1">
        <w:r w:rsidRPr="00F56672">
          <w:rPr>
            <w:rStyle w:val="Hyperlink"/>
            <w:rFonts w:ascii="Georgia" w:hAnsi="Georgia" w:cs="Arial"/>
          </w:rPr>
          <w:t>Lease Financing</w:t>
        </w:r>
      </w:hyperlink>
      <w:r>
        <w:rPr>
          <w:rStyle w:val="EndnoteReference"/>
          <w:rFonts w:ascii="Georgia" w:hAnsi="Georgia"/>
        </w:rPr>
        <w:endnoteReference w:id="15"/>
      </w:r>
      <w:r w:rsidRPr="00BF08B2">
        <w:rPr>
          <w:rFonts w:ascii="Georgia" w:hAnsi="Georgia" w:cs="Arial"/>
        </w:rPr>
        <w:t>” booklet of the Comptroller’s Handbook. This updated booklet replaces a similarly titled booklet issued in January 1998. This booklet also replaces section 219, “Leasing Activities,” issued in June 1999 as part of the Office of Thrift Supervision’s (OTS) Examination Handbook for the examination of federal savings associations.</w:t>
      </w:r>
    </w:p>
    <w:p w:rsidR="003D3582" w:rsidRDefault="003D3582" w:rsidP="003D3582">
      <w:pPr>
        <w:rPr>
          <w:rFonts w:ascii="Georgia" w:hAnsi="Georgia" w:cs="Arial"/>
          <w:b/>
          <w:i/>
          <w:color w:val="003366"/>
          <w:sz w:val="20"/>
          <w:szCs w:val="20"/>
        </w:rPr>
      </w:pPr>
    </w:p>
    <w:p w:rsidR="003D3582" w:rsidRPr="00DF312B" w:rsidRDefault="003D3582" w:rsidP="003D3582">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w:t>
      </w:r>
      <w:r w:rsidRPr="00F56672">
        <w:t xml:space="preserve"> </w:t>
      </w:r>
      <w:r>
        <w:rPr>
          <w:rFonts w:ascii="Georgia" w:hAnsi="Georgia" w:cs="Arial"/>
          <w:b/>
          <w:i/>
          <w:color w:val="003366"/>
          <w:sz w:val="20"/>
          <w:szCs w:val="20"/>
        </w:rPr>
        <w:t>The booklet p</w:t>
      </w:r>
      <w:r w:rsidRPr="00F56672">
        <w:rPr>
          <w:rFonts w:ascii="Georgia" w:hAnsi="Georgia" w:cs="Arial"/>
          <w:b/>
          <w:i/>
          <w:color w:val="003366"/>
          <w:sz w:val="20"/>
          <w:szCs w:val="20"/>
        </w:rPr>
        <w:t>rovides an overview of the leasing business, including the legal framework for leasing, a description of various lease types, and accounting and financial reporting requ</w:t>
      </w:r>
      <w:r>
        <w:rPr>
          <w:rFonts w:ascii="Georgia" w:hAnsi="Georgia" w:cs="Arial"/>
          <w:b/>
          <w:i/>
          <w:color w:val="003366"/>
          <w:sz w:val="20"/>
          <w:szCs w:val="20"/>
        </w:rPr>
        <w:t xml:space="preserve">irements. It </w:t>
      </w:r>
      <w:r w:rsidRPr="00F56672">
        <w:rPr>
          <w:rFonts w:ascii="Georgia" w:hAnsi="Georgia" w:cs="Arial"/>
          <w:b/>
          <w:i/>
          <w:color w:val="003366"/>
          <w:sz w:val="20"/>
          <w:szCs w:val="20"/>
        </w:rPr>
        <w:t>describes the risks associated with lease financing, sound risk management processes, and reg</w:t>
      </w:r>
      <w:r>
        <w:rPr>
          <w:rFonts w:ascii="Georgia" w:hAnsi="Georgia" w:cs="Arial"/>
          <w:b/>
          <w:i/>
          <w:color w:val="003366"/>
          <w:sz w:val="20"/>
          <w:szCs w:val="20"/>
        </w:rPr>
        <w:t xml:space="preserve">ulatory risk rating guidelines. It </w:t>
      </w:r>
      <w:r w:rsidRPr="00F56672">
        <w:rPr>
          <w:rFonts w:ascii="Georgia" w:hAnsi="Georgia" w:cs="Arial"/>
          <w:b/>
          <w:i/>
          <w:color w:val="003366"/>
          <w:sz w:val="20"/>
          <w:szCs w:val="20"/>
        </w:rPr>
        <w:t>discusses the commonality and differences in the laws and regulations unique to national banks and federal savings associations and among the various types of lease financing products.</w:t>
      </w:r>
      <w:r>
        <w:rPr>
          <w:rFonts w:ascii="Georgia" w:hAnsi="Georgia" w:cs="Arial"/>
          <w:b/>
          <w:i/>
          <w:color w:val="003366"/>
          <w:sz w:val="20"/>
          <w:szCs w:val="20"/>
        </w:rPr>
        <w:t xml:space="preserve"> And it </w:t>
      </w:r>
      <w:r w:rsidRPr="00F56672">
        <w:rPr>
          <w:rFonts w:ascii="Georgia" w:hAnsi="Georgia" w:cs="Arial"/>
          <w:b/>
          <w:i/>
          <w:color w:val="003366"/>
          <w:sz w:val="20"/>
          <w:szCs w:val="20"/>
        </w:rPr>
        <w:t>has an expanded examination procedures section that includes an internal control questionnaire and verification procedures.</w:t>
      </w:r>
    </w:p>
    <w:p w:rsidR="003D3582" w:rsidRDefault="003D3582" w:rsidP="003D3582">
      <w:pPr>
        <w:pStyle w:val="Heading"/>
        <w:rPr>
          <w:color w:val="auto"/>
          <w:sz w:val="24"/>
          <w:szCs w:val="24"/>
        </w:rPr>
      </w:pPr>
    </w:p>
    <w:p w:rsidR="00525B9E" w:rsidRDefault="00525B9E" w:rsidP="003D3582">
      <w:pPr>
        <w:pStyle w:val="Heading"/>
        <w:rPr>
          <w:color w:val="auto"/>
          <w:sz w:val="24"/>
          <w:szCs w:val="24"/>
        </w:rPr>
      </w:pPr>
    </w:p>
    <w:p w:rsidR="003D3582" w:rsidRPr="00C83D41" w:rsidRDefault="003D3582" w:rsidP="003D3582">
      <w:pPr>
        <w:pStyle w:val="Heading"/>
        <w:rPr>
          <w:color w:val="002060"/>
          <w:sz w:val="24"/>
          <w:szCs w:val="24"/>
        </w:rPr>
      </w:pPr>
      <w:r>
        <w:rPr>
          <w:color w:val="002060"/>
          <w:sz w:val="24"/>
          <w:szCs w:val="24"/>
        </w:rPr>
        <w:t>OCC guidance on sale of consumer debt</w:t>
      </w:r>
      <w:r w:rsidRPr="00C83D41">
        <w:rPr>
          <w:color w:val="002060"/>
          <w:sz w:val="24"/>
          <w:szCs w:val="24"/>
        </w:rPr>
        <w:br/>
      </w:r>
    </w:p>
    <w:p w:rsidR="003D3582" w:rsidRDefault="003D3582" w:rsidP="003D3582">
      <w:pPr>
        <w:pStyle w:val="Heading"/>
        <w:rPr>
          <w:rFonts w:ascii="Georgia" w:hAnsi="Georgia"/>
          <w:b w:val="0"/>
          <w:color w:val="auto"/>
          <w:sz w:val="24"/>
          <w:szCs w:val="24"/>
        </w:rPr>
      </w:pPr>
      <w:r>
        <w:rPr>
          <w:rFonts w:ascii="Georgia" w:hAnsi="Georgia"/>
          <w:b w:val="0"/>
          <w:color w:val="auto"/>
          <w:sz w:val="24"/>
          <w:szCs w:val="24"/>
        </w:rPr>
        <w:t xml:space="preserve">The OCC issued </w:t>
      </w:r>
      <w:hyperlink r:id="rId37" w:history="1">
        <w:r w:rsidRPr="008A095B">
          <w:rPr>
            <w:rStyle w:val="Hyperlink"/>
            <w:rFonts w:ascii="Georgia" w:hAnsi="Georgia" w:cs="Arial"/>
            <w:b w:val="0"/>
            <w:sz w:val="24"/>
            <w:szCs w:val="24"/>
          </w:rPr>
          <w:t>OCC Bulletin 2014-37</w:t>
        </w:r>
      </w:hyperlink>
      <w:r>
        <w:rPr>
          <w:rStyle w:val="EndnoteReference"/>
          <w:rFonts w:ascii="Georgia" w:hAnsi="Georgia"/>
          <w:b w:val="0"/>
          <w:color w:val="auto"/>
          <w:sz w:val="24"/>
          <w:szCs w:val="24"/>
        </w:rPr>
        <w:endnoteReference w:id="16"/>
      </w:r>
      <w:r>
        <w:rPr>
          <w:rFonts w:ascii="Georgia" w:hAnsi="Georgia"/>
          <w:b w:val="0"/>
          <w:color w:val="auto"/>
          <w:sz w:val="24"/>
          <w:szCs w:val="24"/>
        </w:rPr>
        <w:t xml:space="preserve"> to</w:t>
      </w:r>
      <w:r w:rsidRPr="008A095B">
        <w:rPr>
          <w:rFonts w:ascii="Georgia" w:hAnsi="Georgia"/>
          <w:b w:val="0"/>
          <w:color w:val="auto"/>
          <w:sz w:val="24"/>
          <w:szCs w:val="24"/>
        </w:rPr>
        <w:t xml:space="preserve"> provide guida</w:t>
      </w:r>
      <w:r>
        <w:rPr>
          <w:rFonts w:ascii="Georgia" w:hAnsi="Georgia"/>
          <w:b w:val="0"/>
          <w:color w:val="auto"/>
          <w:sz w:val="24"/>
          <w:szCs w:val="24"/>
        </w:rPr>
        <w:t xml:space="preserve">nce to </w:t>
      </w:r>
      <w:r w:rsidRPr="008A095B">
        <w:rPr>
          <w:rFonts w:ascii="Georgia" w:hAnsi="Georgia"/>
          <w:b w:val="0"/>
          <w:color w:val="auto"/>
          <w:sz w:val="24"/>
          <w:szCs w:val="24"/>
        </w:rPr>
        <w:t xml:space="preserve">national banks and federal savings associations (collectively, banks) on the application of consumer protection requirements and safe and sound banking practices to consumer debt-sale arrangements with third parties (e.g., debt buyers) that intend to pursue collection of </w:t>
      </w:r>
      <w:r>
        <w:rPr>
          <w:rFonts w:ascii="Georgia" w:hAnsi="Georgia"/>
          <w:b w:val="0"/>
          <w:color w:val="auto"/>
          <w:sz w:val="24"/>
          <w:szCs w:val="24"/>
        </w:rPr>
        <w:t>the underlying obligations. The</w:t>
      </w:r>
      <w:r w:rsidRPr="008A095B">
        <w:rPr>
          <w:rFonts w:ascii="Georgia" w:hAnsi="Georgia"/>
          <w:b w:val="0"/>
          <w:color w:val="auto"/>
          <w:sz w:val="24"/>
          <w:szCs w:val="24"/>
        </w:rPr>
        <w:t xml:space="preserve"> bulletin is a statement of policy intended to advise banks about the OCC’s supervisory expectations for structuring debt-sale arrangements in a manner that is consistent with safety and soundness and promotes fair treatment of customers.</w:t>
      </w:r>
    </w:p>
    <w:p w:rsidR="003D3582" w:rsidRPr="008A095B" w:rsidRDefault="003D3582" w:rsidP="003D3582">
      <w:pPr>
        <w:pStyle w:val="Heading"/>
        <w:rPr>
          <w:rFonts w:ascii="Georgia" w:hAnsi="Georgia"/>
          <w:b w:val="0"/>
          <w:color w:val="auto"/>
          <w:sz w:val="24"/>
          <w:szCs w:val="24"/>
        </w:rPr>
      </w:pPr>
    </w:p>
    <w:p w:rsidR="003D3582" w:rsidRPr="008A095B" w:rsidRDefault="003D3582" w:rsidP="003D3582">
      <w:pPr>
        <w:pStyle w:val="Heading"/>
        <w:rPr>
          <w:rFonts w:ascii="Georgia" w:hAnsi="Georgia"/>
          <w:b w:val="0"/>
          <w:color w:val="auto"/>
          <w:sz w:val="24"/>
          <w:szCs w:val="24"/>
        </w:rPr>
      </w:pPr>
      <w:r w:rsidRPr="008A095B">
        <w:rPr>
          <w:rFonts w:ascii="Georgia" w:hAnsi="Georgia"/>
          <w:b w:val="0"/>
          <w:color w:val="auto"/>
          <w:sz w:val="24"/>
          <w:szCs w:val="24"/>
        </w:rPr>
        <w:t>The guidance describes the OCC’s expectations for banks that engage in debt-sale arrangements, including</w:t>
      </w:r>
      <w:r>
        <w:rPr>
          <w:rFonts w:ascii="Georgia" w:hAnsi="Georgia"/>
          <w:b w:val="0"/>
          <w:color w:val="auto"/>
          <w:sz w:val="24"/>
          <w:szCs w:val="24"/>
        </w:rPr>
        <w:t>:</w:t>
      </w:r>
    </w:p>
    <w:p w:rsidR="003D3582" w:rsidRPr="008A095B" w:rsidRDefault="003D3582" w:rsidP="003D3582">
      <w:pPr>
        <w:pStyle w:val="Heading"/>
        <w:numPr>
          <w:ilvl w:val="0"/>
          <w:numId w:val="44"/>
        </w:numPr>
        <w:rPr>
          <w:rFonts w:ascii="Georgia" w:hAnsi="Georgia"/>
          <w:b w:val="0"/>
          <w:color w:val="auto"/>
          <w:sz w:val="24"/>
          <w:szCs w:val="24"/>
        </w:rPr>
      </w:pPr>
      <w:r w:rsidRPr="008A095B">
        <w:rPr>
          <w:rFonts w:ascii="Georgia" w:hAnsi="Georgia"/>
          <w:b w:val="0"/>
          <w:color w:val="auto"/>
          <w:sz w:val="24"/>
          <w:szCs w:val="24"/>
        </w:rPr>
        <w:t>ensuring that appropriate internal policies and procedures have been developed and implemented to govern debt-sale arrangements consistently across the bank.</w:t>
      </w:r>
    </w:p>
    <w:p w:rsidR="003D3582" w:rsidRPr="008A095B" w:rsidRDefault="003D3582" w:rsidP="003D3582">
      <w:pPr>
        <w:pStyle w:val="Heading"/>
        <w:numPr>
          <w:ilvl w:val="0"/>
          <w:numId w:val="44"/>
        </w:numPr>
        <w:rPr>
          <w:rFonts w:ascii="Georgia" w:hAnsi="Georgia"/>
          <w:b w:val="0"/>
          <w:color w:val="auto"/>
          <w:sz w:val="24"/>
          <w:szCs w:val="24"/>
        </w:rPr>
      </w:pPr>
      <w:r w:rsidRPr="008A095B">
        <w:rPr>
          <w:rFonts w:ascii="Georgia" w:hAnsi="Georgia"/>
          <w:b w:val="0"/>
          <w:color w:val="auto"/>
          <w:sz w:val="24"/>
          <w:szCs w:val="24"/>
        </w:rPr>
        <w:t>performing appropriate due diligence when selecting debt buyers.</w:t>
      </w:r>
    </w:p>
    <w:p w:rsidR="003D3582" w:rsidRPr="008A095B" w:rsidRDefault="003D3582" w:rsidP="003D3582">
      <w:pPr>
        <w:pStyle w:val="Heading"/>
        <w:numPr>
          <w:ilvl w:val="0"/>
          <w:numId w:val="44"/>
        </w:numPr>
        <w:rPr>
          <w:rFonts w:ascii="Georgia" w:hAnsi="Georgia"/>
          <w:b w:val="0"/>
          <w:color w:val="auto"/>
          <w:sz w:val="24"/>
          <w:szCs w:val="24"/>
        </w:rPr>
      </w:pPr>
      <w:r w:rsidRPr="008A095B">
        <w:rPr>
          <w:rFonts w:ascii="Georgia" w:hAnsi="Georgia"/>
          <w:b w:val="0"/>
          <w:color w:val="auto"/>
          <w:sz w:val="24"/>
          <w:szCs w:val="24"/>
        </w:rPr>
        <w:t>ensuring that debt-sale arrangements with debt buyers cover all important considerations.</w:t>
      </w:r>
    </w:p>
    <w:p w:rsidR="003D3582" w:rsidRPr="008A095B" w:rsidRDefault="003D3582" w:rsidP="003D3582">
      <w:pPr>
        <w:pStyle w:val="Heading"/>
        <w:numPr>
          <w:ilvl w:val="0"/>
          <w:numId w:val="44"/>
        </w:numPr>
        <w:rPr>
          <w:rFonts w:ascii="Georgia" w:hAnsi="Georgia"/>
          <w:b w:val="0"/>
          <w:color w:val="auto"/>
          <w:sz w:val="24"/>
          <w:szCs w:val="24"/>
        </w:rPr>
      </w:pPr>
      <w:r w:rsidRPr="008A095B">
        <w:rPr>
          <w:rFonts w:ascii="Georgia" w:hAnsi="Georgia"/>
          <w:b w:val="0"/>
          <w:color w:val="auto"/>
          <w:sz w:val="24"/>
          <w:szCs w:val="24"/>
        </w:rPr>
        <w:t>providing accurate and comprehensive information regarding each debt sold, at the time of sale.</w:t>
      </w:r>
    </w:p>
    <w:p w:rsidR="003D3582" w:rsidRPr="008A095B" w:rsidRDefault="003D3582" w:rsidP="003D3582">
      <w:pPr>
        <w:pStyle w:val="Heading"/>
        <w:numPr>
          <w:ilvl w:val="0"/>
          <w:numId w:val="44"/>
        </w:numPr>
        <w:rPr>
          <w:rFonts w:ascii="Georgia" w:hAnsi="Georgia"/>
          <w:b w:val="0"/>
          <w:color w:val="auto"/>
          <w:sz w:val="24"/>
          <w:szCs w:val="24"/>
        </w:rPr>
      </w:pPr>
      <w:r w:rsidRPr="008A095B">
        <w:rPr>
          <w:rFonts w:ascii="Georgia" w:hAnsi="Georgia"/>
          <w:b w:val="0"/>
          <w:color w:val="auto"/>
          <w:sz w:val="24"/>
          <w:szCs w:val="24"/>
        </w:rPr>
        <w:t>ensuring compliance by the bank with applicable consumer protection laws and regulations.</w:t>
      </w:r>
    </w:p>
    <w:p w:rsidR="003D3582" w:rsidRDefault="003D3582" w:rsidP="003D3582">
      <w:pPr>
        <w:pStyle w:val="Heading"/>
        <w:numPr>
          <w:ilvl w:val="0"/>
          <w:numId w:val="44"/>
        </w:numPr>
        <w:rPr>
          <w:color w:val="auto"/>
          <w:sz w:val="24"/>
          <w:szCs w:val="24"/>
        </w:rPr>
      </w:pPr>
      <w:r w:rsidRPr="008A095B">
        <w:rPr>
          <w:rFonts w:ascii="Georgia" w:hAnsi="Georgia"/>
          <w:b w:val="0"/>
          <w:color w:val="auto"/>
          <w:sz w:val="24"/>
          <w:szCs w:val="24"/>
        </w:rPr>
        <w:t>implementing appropriate oversight of debt-sale arrangements.</w:t>
      </w:r>
    </w:p>
    <w:p w:rsidR="003D3582" w:rsidRDefault="003D3582" w:rsidP="003D3582">
      <w:pPr>
        <w:pStyle w:val="Heading"/>
        <w:rPr>
          <w:rFonts w:ascii="Georgia" w:hAnsi="Georgia"/>
          <w:i/>
          <w:color w:val="003366"/>
          <w:sz w:val="20"/>
          <w:szCs w:val="20"/>
        </w:rPr>
      </w:pPr>
    </w:p>
    <w:p w:rsidR="003D3582" w:rsidRDefault="003D3582" w:rsidP="003D3582">
      <w:pPr>
        <w:pStyle w:val="Heading"/>
        <w:rPr>
          <w:rFonts w:ascii="Georgia" w:hAnsi="Georgia"/>
          <w:i/>
          <w:color w:val="003366"/>
          <w:sz w:val="20"/>
          <w:szCs w:val="20"/>
        </w:rPr>
      </w:pPr>
      <w:r w:rsidRPr="000930D0">
        <w:rPr>
          <w:rFonts w:ascii="Georgia" w:hAnsi="Georgia"/>
          <w:i/>
          <w:color w:val="003366"/>
          <w:sz w:val="20"/>
          <w:szCs w:val="20"/>
        </w:rPr>
        <w:t>Comment</w:t>
      </w:r>
      <w:r>
        <w:rPr>
          <w:rFonts w:ascii="Georgia" w:hAnsi="Georgia"/>
          <w:i/>
          <w:color w:val="003366"/>
          <w:sz w:val="20"/>
          <w:szCs w:val="20"/>
        </w:rPr>
        <w:t>: This bulletin was distributed to the CEOs of national banks and federal sav</w:t>
      </w:r>
      <w:r w:rsidR="003A0C93">
        <w:rPr>
          <w:rFonts w:ascii="Georgia" w:hAnsi="Georgia"/>
          <w:i/>
          <w:color w:val="003366"/>
          <w:sz w:val="20"/>
          <w:szCs w:val="20"/>
        </w:rPr>
        <w:t>ings associations. If your bank</w:t>
      </w:r>
      <w:r>
        <w:rPr>
          <w:rFonts w:ascii="Georgia" w:hAnsi="Georgia"/>
          <w:i/>
          <w:color w:val="003366"/>
          <w:sz w:val="20"/>
          <w:szCs w:val="20"/>
        </w:rPr>
        <w:t xml:space="preserve"> sells </w:t>
      </w:r>
      <w:r w:rsidR="00904EA2">
        <w:rPr>
          <w:rFonts w:ascii="Georgia" w:hAnsi="Georgia"/>
          <w:i/>
          <w:color w:val="003366"/>
          <w:sz w:val="20"/>
          <w:szCs w:val="20"/>
        </w:rPr>
        <w:t xml:space="preserve">consumer </w:t>
      </w:r>
      <w:r>
        <w:rPr>
          <w:rFonts w:ascii="Georgia" w:hAnsi="Georgia"/>
          <w:i/>
          <w:color w:val="003366"/>
          <w:sz w:val="20"/>
          <w:szCs w:val="20"/>
        </w:rPr>
        <w:t>debt, you must carefully manage the operational, reputation, compliance, and strategic risk.</w:t>
      </w:r>
    </w:p>
    <w:p w:rsidR="003D3582" w:rsidRDefault="003D3582" w:rsidP="00EA036A">
      <w:pPr>
        <w:pStyle w:val="Heading"/>
        <w:rPr>
          <w:rFonts w:ascii="Georgia" w:hAnsi="Georgia"/>
          <w:i/>
          <w:color w:val="003366"/>
          <w:sz w:val="20"/>
          <w:szCs w:val="20"/>
        </w:rPr>
      </w:pPr>
    </w:p>
    <w:p w:rsidR="000E6A0E" w:rsidRDefault="000E6A0E" w:rsidP="000E6A0E">
      <w:pPr>
        <w:pStyle w:val="Heading"/>
        <w:rPr>
          <w:color w:val="002060"/>
          <w:sz w:val="24"/>
          <w:szCs w:val="24"/>
        </w:rPr>
      </w:pPr>
    </w:p>
    <w:p w:rsidR="000E6A0E" w:rsidRPr="000E6A0E" w:rsidRDefault="000E6A0E" w:rsidP="000E6A0E">
      <w:pPr>
        <w:pStyle w:val="Heading"/>
        <w:rPr>
          <w:rFonts w:ascii="Georgia" w:hAnsi="Georgia"/>
          <w:b w:val="0"/>
          <w:color w:val="auto"/>
          <w:sz w:val="24"/>
          <w:szCs w:val="24"/>
        </w:rPr>
      </w:pPr>
      <w:r>
        <w:rPr>
          <w:b w:val="0"/>
          <w:color w:val="006600"/>
          <w:sz w:val="36"/>
          <w:szCs w:val="36"/>
        </w:rPr>
        <w:t>Other agencies</w:t>
      </w:r>
    </w:p>
    <w:p w:rsidR="000E6A0E" w:rsidRDefault="000E6A0E" w:rsidP="000E6A0E">
      <w:pPr>
        <w:pStyle w:val="Heading"/>
        <w:rPr>
          <w:color w:val="002060"/>
          <w:sz w:val="24"/>
          <w:szCs w:val="24"/>
        </w:rPr>
      </w:pPr>
    </w:p>
    <w:p w:rsidR="00525B9E" w:rsidRPr="00C83D41" w:rsidRDefault="00525B9E" w:rsidP="00525B9E">
      <w:pPr>
        <w:pStyle w:val="Heading"/>
        <w:rPr>
          <w:color w:val="002060"/>
          <w:sz w:val="24"/>
          <w:szCs w:val="24"/>
        </w:rPr>
      </w:pPr>
      <w:r>
        <w:rPr>
          <w:color w:val="002060"/>
          <w:sz w:val="24"/>
          <w:szCs w:val="24"/>
        </w:rPr>
        <w:t>FannieMae mortgage lender sentiment survey results</w:t>
      </w:r>
      <w:r w:rsidRPr="00C83D41">
        <w:rPr>
          <w:color w:val="002060"/>
          <w:sz w:val="24"/>
          <w:szCs w:val="24"/>
        </w:rPr>
        <w:br/>
      </w:r>
    </w:p>
    <w:p w:rsidR="00525B9E" w:rsidRDefault="00525B9E" w:rsidP="00525B9E">
      <w:pPr>
        <w:pStyle w:val="Heading"/>
        <w:rPr>
          <w:rFonts w:ascii="Georgia" w:hAnsi="Georgia"/>
          <w:b w:val="0"/>
          <w:color w:val="auto"/>
          <w:sz w:val="24"/>
          <w:szCs w:val="24"/>
        </w:rPr>
      </w:pPr>
      <w:r>
        <w:rPr>
          <w:rFonts w:ascii="Georgia" w:hAnsi="Georgia"/>
          <w:b w:val="0"/>
          <w:color w:val="auto"/>
          <w:sz w:val="24"/>
          <w:szCs w:val="24"/>
        </w:rPr>
        <w:t xml:space="preserve">FannieMae’s survey of mortgage lenders has been compiled in the </w:t>
      </w:r>
      <w:hyperlink r:id="rId38" w:history="1">
        <w:r w:rsidRPr="00F53C24">
          <w:rPr>
            <w:rStyle w:val="Hyperlink"/>
            <w:rFonts w:ascii="Georgia" w:hAnsi="Georgia" w:cs="Arial"/>
            <w:b w:val="0"/>
            <w:sz w:val="24"/>
            <w:szCs w:val="24"/>
          </w:rPr>
          <w:t>Impact of Qualified Mortgage Rules and Quality Control Review</w:t>
        </w:r>
      </w:hyperlink>
      <w:r>
        <w:rPr>
          <w:rFonts w:ascii="Georgia" w:hAnsi="Georgia"/>
          <w:b w:val="0"/>
          <w:color w:val="auto"/>
          <w:sz w:val="24"/>
          <w:szCs w:val="24"/>
        </w:rPr>
        <w:t>.</w:t>
      </w:r>
      <w:r>
        <w:rPr>
          <w:rStyle w:val="EndnoteReference"/>
          <w:rFonts w:ascii="Georgia" w:hAnsi="Georgia"/>
          <w:b w:val="0"/>
          <w:color w:val="auto"/>
          <w:sz w:val="24"/>
          <w:szCs w:val="24"/>
        </w:rPr>
        <w:endnoteReference w:id="17"/>
      </w:r>
    </w:p>
    <w:p w:rsidR="00525B9E" w:rsidRDefault="00525B9E" w:rsidP="00525B9E">
      <w:pPr>
        <w:pStyle w:val="Heading"/>
        <w:rPr>
          <w:rFonts w:ascii="Georgia" w:hAnsi="Georgia"/>
          <w:b w:val="0"/>
          <w:color w:val="auto"/>
          <w:sz w:val="24"/>
          <w:szCs w:val="24"/>
        </w:rPr>
      </w:pPr>
    </w:p>
    <w:p w:rsidR="00525B9E" w:rsidRPr="00DF312B" w:rsidRDefault="00525B9E" w:rsidP="00525B9E">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 Most lenders indicated the QM rules have had little impact on their business strategies, but they expect operational costs to increase. Most lenders do not intend to make non-QM loans. The smaller the institution, the less likely the institution is to make non-QM loans.</w:t>
      </w:r>
    </w:p>
    <w:p w:rsidR="00525B9E" w:rsidRDefault="00525B9E" w:rsidP="00525B9E">
      <w:pPr>
        <w:pStyle w:val="Heading"/>
        <w:rPr>
          <w:color w:val="002060"/>
          <w:sz w:val="24"/>
          <w:szCs w:val="24"/>
        </w:rPr>
      </w:pPr>
    </w:p>
    <w:p w:rsidR="00525B9E" w:rsidRDefault="00525B9E" w:rsidP="00525B9E">
      <w:pPr>
        <w:pStyle w:val="Heading"/>
        <w:rPr>
          <w:color w:val="002060"/>
          <w:sz w:val="24"/>
          <w:szCs w:val="24"/>
        </w:rPr>
      </w:pPr>
    </w:p>
    <w:p w:rsidR="00525B9E" w:rsidRPr="00C83D41" w:rsidRDefault="00525B9E" w:rsidP="00525B9E">
      <w:pPr>
        <w:pStyle w:val="Heading"/>
        <w:rPr>
          <w:color w:val="002060"/>
          <w:sz w:val="24"/>
          <w:szCs w:val="24"/>
        </w:rPr>
      </w:pPr>
      <w:r>
        <w:rPr>
          <w:color w:val="002060"/>
          <w:sz w:val="24"/>
          <w:szCs w:val="24"/>
        </w:rPr>
        <w:t>FinCEN advisory on promoting a culture of compliance</w:t>
      </w:r>
      <w:r w:rsidRPr="00C83D41">
        <w:rPr>
          <w:color w:val="002060"/>
          <w:sz w:val="24"/>
          <w:szCs w:val="24"/>
        </w:rPr>
        <w:br/>
      </w:r>
    </w:p>
    <w:p w:rsidR="00525B9E" w:rsidRDefault="00525B9E" w:rsidP="00525B9E">
      <w:pPr>
        <w:pStyle w:val="Heading"/>
        <w:rPr>
          <w:rFonts w:ascii="Georgia" w:hAnsi="Georgia"/>
          <w:b w:val="0"/>
          <w:color w:val="auto"/>
          <w:sz w:val="24"/>
          <w:szCs w:val="24"/>
        </w:rPr>
      </w:pPr>
      <w:r w:rsidRPr="008C5878">
        <w:rPr>
          <w:rFonts w:ascii="Georgia" w:hAnsi="Georgia"/>
          <w:b w:val="0"/>
          <w:color w:val="auto"/>
          <w:sz w:val="24"/>
          <w:szCs w:val="24"/>
        </w:rPr>
        <w:t>B</w:t>
      </w:r>
      <w:r>
        <w:rPr>
          <w:rFonts w:ascii="Georgia" w:hAnsi="Georgia"/>
          <w:b w:val="0"/>
          <w:color w:val="auto"/>
          <w:sz w:val="24"/>
          <w:szCs w:val="24"/>
        </w:rPr>
        <w:t>ecause B</w:t>
      </w:r>
      <w:r w:rsidRPr="008C5878">
        <w:rPr>
          <w:rFonts w:ascii="Georgia" w:hAnsi="Georgia"/>
          <w:b w:val="0"/>
          <w:color w:val="auto"/>
          <w:sz w:val="24"/>
          <w:szCs w:val="24"/>
        </w:rPr>
        <w:t>SA/AML shortcomings have triggered recent civil and criminal enforcement action</w:t>
      </w:r>
      <w:r>
        <w:rPr>
          <w:rFonts w:ascii="Georgia" w:hAnsi="Georgia"/>
          <w:b w:val="0"/>
          <w:color w:val="auto"/>
          <w:sz w:val="24"/>
          <w:szCs w:val="24"/>
        </w:rPr>
        <w:t>s, FinCEN issued an advisory (</w:t>
      </w:r>
      <w:hyperlink r:id="rId39" w:history="1">
        <w:r w:rsidRPr="00551241">
          <w:rPr>
            <w:rStyle w:val="Hyperlink"/>
            <w:rFonts w:ascii="Georgia" w:hAnsi="Georgia" w:cs="Arial"/>
            <w:b w:val="0"/>
            <w:sz w:val="24"/>
            <w:szCs w:val="24"/>
          </w:rPr>
          <w:t>FIN-2014-A007</w:t>
        </w:r>
      </w:hyperlink>
      <w:r>
        <w:rPr>
          <w:rStyle w:val="EndnoteReference"/>
          <w:rFonts w:ascii="Georgia" w:hAnsi="Georgia"/>
          <w:b w:val="0"/>
          <w:color w:val="auto"/>
          <w:sz w:val="24"/>
          <w:szCs w:val="24"/>
        </w:rPr>
        <w:endnoteReference w:id="18"/>
      </w:r>
      <w:r>
        <w:rPr>
          <w:rFonts w:ascii="Georgia" w:hAnsi="Georgia"/>
          <w:b w:val="0"/>
          <w:color w:val="auto"/>
          <w:sz w:val="24"/>
          <w:szCs w:val="24"/>
        </w:rPr>
        <w:t>)</w:t>
      </w:r>
      <w:r w:rsidRPr="008C5878">
        <w:rPr>
          <w:rFonts w:ascii="Georgia" w:hAnsi="Georgia"/>
          <w:b w:val="0"/>
          <w:color w:val="auto"/>
          <w:sz w:val="24"/>
          <w:szCs w:val="24"/>
        </w:rPr>
        <w:t xml:space="preserve"> to highlight the importance of a </w:t>
      </w:r>
      <w:r w:rsidRPr="008C5878">
        <w:rPr>
          <w:rFonts w:ascii="Georgia" w:hAnsi="Georgia"/>
          <w:b w:val="0"/>
          <w:color w:val="auto"/>
          <w:sz w:val="24"/>
          <w:szCs w:val="24"/>
        </w:rPr>
        <w:lastRenderedPageBreak/>
        <w:t>strong culture of BSA/AML compliance for senior management, leadership and owners of all financial institutions subje</w:t>
      </w:r>
      <w:r>
        <w:rPr>
          <w:rFonts w:ascii="Georgia" w:hAnsi="Georgia"/>
          <w:b w:val="0"/>
          <w:color w:val="auto"/>
          <w:sz w:val="24"/>
          <w:szCs w:val="24"/>
        </w:rPr>
        <w:t>ct to FinCEN’s regulations</w:t>
      </w:r>
      <w:r w:rsidRPr="008C5878">
        <w:rPr>
          <w:rFonts w:ascii="Georgia" w:hAnsi="Georgia"/>
          <w:b w:val="0"/>
          <w:color w:val="auto"/>
          <w:sz w:val="24"/>
          <w:szCs w:val="24"/>
        </w:rPr>
        <w:t>.</w:t>
      </w:r>
    </w:p>
    <w:p w:rsidR="00525B9E" w:rsidRDefault="00525B9E" w:rsidP="00525B9E">
      <w:pPr>
        <w:pStyle w:val="Heading"/>
        <w:rPr>
          <w:color w:val="auto"/>
          <w:sz w:val="24"/>
          <w:szCs w:val="24"/>
        </w:rPr>
      </w:pPr>
    </w:p>
    <w:p w:rsidR="00525B9E" w:rsidRDefault="00525B9E" w:rsidP="00525B9E">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 A culture of compliance is a top-down phenomenon. You'll rarely (if ever) find a culture of compliance in a bank without board, senior management</w:t>
      </w:r>
      <w:r w:rsidR="00904EA2">
        <w:rPr>
          <w:rFonts w:ascii="Georgia" w:hAnsi="Georgia" w:cs="Arial"/>
          <w:b/>
          <w:i/>
          <w:color w:val="003366"/>
          <w:sz w:val="20"/>
          <w:szCs w:val="20"/>
        </w:rPr>
        <w:t xml:space="preserve"> </w:t>
      </w:r>
      <w:r>
        <w:rPr>
          <w:rFonts w:ascii="Georgia" w:hAnsi="Georgia" w:cs="Arial"/>
          <w:b/>
          <w:i/>
          <w:color w:val="003366"/>
          <w:sz w:val="20"/>
          <w:szCs w:val="20"/>
        </w:rPr>
        <w:t>promoting it.</w:t>
      </w:r>
    </w:p>
    <w:p w:rsidR="00525B9E" w:rsidRDefault="00525B9E" w:rsidP="00525B9E">
      <w:pPr>
        <w:rPr>
          <w:rFonts w:ascii="Georgia" w:hAnsi="Georgia" w:cs="Arial"/>
          <w:b/>
          <w:i/>
          <w:color w:val="003366"/>
          <w:sz w:val="20"/>
          <w:szCs w:val="20"/>
        </w:rPr>
      </w:pPr>
    </w:p>
    <w:p w:rsidR="00525B9E" w:rsidRDefault="00525B9E" w:rsidP="00525B9E">
      <w:pPr>
        <w:rPr>
          <w:rFonts w:ascii="Georgia" w:hAnsi="Georgia" w:cs="Arial"/>
          <w:b/>
          <w:i/>
          <w:color w:val="003366"/>
          <w:sz w:val="20"/>
          <w:szCs w:val="20"/>
        </w:rPr>
      </w:pPr>
    </w:p>
    <w:p w:rsidR="00525B9E" w:rsidRPr="00C83D41" w:rsidRDefault="00525B9E" w:rsidP="00525B9E">
      <w:pPr>
        <w:pStyle w:val="Heading"/>
        <w:rPr>
          <w:color w:val="002060"/>
          <w:sz w:val="24"/>
          <w:szCs w:val="24"/>
        </w:rPr>
      </w:pPr>
      <w:r>
        <w:rPr>
          <w:color w:val="002060"/>
          <w:sz w:val="24"/>
          <w:szCs w:val="24"/>
        </w:rPr>
        <w:t xml:space="preserve">OFAC issues guidance on entities owned by blocked persons </w:t>
      </w:r>
      <w:r w:rsidRPr="00C83D41">
        <w:rPr>
          <w:color w:val="002060"/>
          <w:sz w:val="24"/>
          <w:szCs w:val="24"/>
        </w:rPr>
        <w:br/>
      </w:r>
    </w:p>
    <w:p w:rsidR="00525B9E" w:rsidRDefault="00525B9E" w:rsidP="00525B9E">
      <w:pPr>
        <w:pStyle w:val="Heading"/>
        <w:rPr>
          <w:rFonts w:ascii="Georgia" w:hAnsi="Georgia"/>
          <w:b w:val="0"/>
          <w:color w:val="auto"/>
          <w:sz w:val="24"/>
          <w:szCs w:val="24"/>
        </w:rPr>
      </w:pPr>
      <w:r>
        <w:rPr>
          <w:rFonts w:ascii="Georgia" w:hAnsi="Georgia"/>
          <w:b w:val="0"/>
          <w:color w:val="auto"/>
          <w:sz w:val="24"/>
          <w:szCs w:val="24"/>
        </w:rPr>
        <w:t xml:space="preserve">The </w:t>
      </w:r>
      <w:r w:rsidRPr="00122704">
        <w:rPr>
          <w:rFonts w:ascii="Georgia" w:hAnsi="Georgia"/>
          <w:b w:val="0"/>
          <w:color w:val="auto"/>
          <w:sz w:val="24"/>
          <w:szCs w:val="24"/>
        </w:rPr>
        <w:t xml:space="preserve">Department of the Treasury's Office of </w:t>
      </w:r>
      <w:r>
        <w:rPr>
          <w:rFonts w:ascii="Georgia" w:hAnsi="Georgia"/>
          <w:b w:val="0"/>
          <w:color w:val="auto"/>
          <w:sz w:val="24"/>
          <w:szCs w:val="24"/>
        </w:rPr>
        <w:t>Foreign</w:t>
      </w:r>
      <w:r w:rsidRPr="00122704">
        <w:rPr>
          <w:rFonts w:ascii="Georgia" w:hAnsi="Georgia"/>
          <w:b w:val="0"/>
          <w:color w:val="auto"/>
          <w:sz w:val="24"/>
          <w:szCs w:val="24"/>
        </w:rPr>
        <w:t xml:space="preserve"> Assets Control (OFAC)</w:t>
      </w:r>
      <w:r>
        <w:rPr>
          <w:rFonts w:ascii="Georgia" w:hAnsi="Georgia"/>
          <w:b w:val="0"/>
          <w:color w:val="auto"/>
          <w:sz w:val="24"/>
          <w:szCs w:val="24"/>
        </w:rPr>
        <w:t xml:space="preserve"> issued </w:t>
      </w:r>
      <w:hyperlink r:id="rId40" w:history="1">
        <w:r w:rsidRPr="00122704">
          <w:rPr>
            <w:rStyle w:val="Hyperlink"/>
            <w:rFonts w:ascii="Georgia" w:hAnsi="Georgia" w:cs="Arial"/>
            <w:b w:val="0"/>
            <w:sz w:val="24"/>
            <w:szCs w:val="24"/>
          </w:rPr>
          <w:t>guidance</w:t>
        </w:r>
      </w:hyperlink>
      <w:r>
        <w:rPr>
          <w:rStyle w:val="EndnoteReference"/>
          <w:rFonts w:ascii="Georgia" w:hAnsi="Georgia"/>
          <w:b w:val="0"/>
          <w:color w:val="auto"/>
          <w:sz w:val="24"/>
          <w:szCs w:val="24"/>
        </w:rPr>
        <w:endnoteReference w:id="19"/>
      </w:r>
      <w:r>
        <w:rPr>
          <w:rFonts w:ascii="Georgia" w:hAnsi="Georgia"/>
          <w:b w:val="0"/>
          <w:color w:val="auto"/>
          <w:sz w:val="24"/>
          <w:szCs w:val="24"/>
        </w:rPr>
        <w:t xml:space="preserve"> responding</w:t>
      </w:r>
      <w:r w:rsidRPr="00122704">
        <w:rPr>
          <w:rFonts w:ascii="Georgia" w:hAnsi="Georgia"/>
          <w:b w:val="0"/>
          <w:color w:val="auto"/>
          <w:sz w:val="24"/>
          <w:szCs w:val="24"/>
        </w:rPr>
        <w:t xml:space="preserve"> to inquiries received by the relating to the status of entities ow</w:t>
      </w:r>
      <w:r>
        <w:rPr>
          <w:rFonts w:ascii="Georgia" w:hAnsi="Georgia"/>
          <w:b w:val="0"/>
          <w:color w:val="auto"/>
          <w:sz w:val="24"/>
          <w:szCs w:val="24"/>
        </w:rPr>
        <w:t xml:space="preserve">ned by individuals or entities </w:t>
      </w:r>
      <w:r w:rsidRPr="00122704">
        <w:rPr>
          <w:rFonts w:ascii="Georgia" w:hAnsi="Georgia"/>
          <w:b w:val="0"/>
          <w:color w:val="auto"/>
          <w:sz w:val="24"/>
          <w:szCs w:val="24"/>
        </w:rPr>
        <w:t>designated under Executive orders and regulations administered by OF AC. This document sets forth new guidance with respect to entities owned 50 percent or</w:t>
      </w:r>
      <w:r>
        <w:rPr>
          <w:rFonts w:ascii="Georgia" w:hAnsi="Georgia"/>
          <w:b w:val="0"/>
          <w:color w:val="auto"/>
          <w:sz w:val="24"/>
          <w:szCs w:val="24"/>
        </w:rPr>
        <w:t xml:space="preserve"> more in the aggregate by more </w:t>
      </w:r>
      <w:r w:rsidRPr="00122704">
        <w:rPr>
          <w:rFonts w:ascii="Georgia" w:hAnsi="Georgia"/>
          <w:b w:val="0"/>
          <w:color w:val="auto"/>
          <w:sz w:val="24"/>
          <w:szCs w:val="24"/>
        </w:rPr>
        <w:t>than one blocked person.</w:t>
      </w:r>
      <w:r>
        <w:rPr>
          <w:rFonts w:ascii="Georgia" w:hAnsi="Georgia"/>
          <w:b w:val="0"/>
          <w:color w:val="auto"/>
          <w:sz w:val="24"/>
          <w:szCs w:val="24"/>
        </w:rPr>
        <w:t xml:space="preserve"> The</w:t>
      </w:r>
      <w:r w:rsidRPr="00122704">
        <w:rPr>
          <w:rFonts w:ascii="Georgia" w:hAnsi="Georgia"/>
          <w:b w:val="0"/>
          <w:color w:val="auto"/>
          <w:sz w:val="24"/>
          <w:szCs w:val="24"/>
        </w:rPr>
        <w:t xml:space="preserve"> revised guidance replaces the Guidance on Entities Owned by Persons Whose Property and In</w:t>
      </w:r>
      <w:r w:rsidR="003A0C93">
        <w:rPr>
          <w:rFonts w:ascii="Georgia" w:hAnsi="Georgia"/>
          <w:b w:val="0"/>
          <w:color w:val="auto"/>
          <w:sz w:val="24"/>
          <w:szCs w:val="24"/>
        </w:rPr>
        <w:t xml:space="preserve">terests in Property are Blocked </w:t>
      </w:r>
      <w:r w:rsidRPr="00122704">
        <w:rPr>
          <w:rFonts w:ascii="Georgia" w:hAnsi="Georgia"/>
          <w:b w:val="0"/>
          <w:color w:val="auto"/>
          <w:sz w:val="24"/>
          <w:szCs w:val="24"/>
        </w:rPr>
        <w:t>previously posted on OFAC’s website on February 14, 2008.</w:t>
      </w:r>
    </w:p>
    <w:p w:rsidR="00525B9E" w:rsidRDefault="00525B9E" w:rsidP="00525B9E">
      <w:pPr>
        <w:rPr>
          <w:rFonts w:ascii="Georgia" w:hAnsi="Georgia" w:cs="Arial"/>
          <w:b/>
          <w:i/>
          <w:color w:val="003366"/>
          <w:sz w:val="20"/>
          <w:szCs w:val="20"/>
        </w:rPr>
      </w:pPr>
    </w:p>
    <w:p w:rsidR="00525B9E" w:rsidRDefault="00525B9E" w:rsidP="00525B9E">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 Additionally, OFAC issued</w:t>
      </w:r>
      <w:r w:rsidRPr="00122704">
        <w:rPr>
          <w:rFonts w:ascii="Georgia" w:hAnsi="Georgia" w:cs="Arial"/>
          <w:b/>
          <w:i/>
          <w:color w:val="003366"/>
          <w:sz w:val="20"/>
          <w:szCs w:val="20"/>
        </w:rPr>
        <w:t xml:space="preserve"> new </w:t>
      </w:r>
      <w:hyperlink r:id="rId41" w:anchor="50_percent" w:history="1">
        <w:r w:rsidRPr="00122704">
          <w:rPr>
            <w:rStyle w:val="Hyperlink"/>
            <w:rFonts w:ascii="Georgia" w:hAnsi="Georgia" w:cs="Arial"/>
            <w:b/>
            <w:i/>
            <w:sz w:val="20"/>
            <w:szCs w:val="20"/>
          </w:rPr>
          <w:t>Frequently Asked Questions</w:t>
        </w:r>
      </w:hyperlink>
      <w:r>
        <w:rPr>
          <w:rStyle w:val="EndnoteReference"/>
          <w:rFonts w:ascii="Georgia" w:hAnsi="Georgia"/>
          <w:b/>
          <w:i/>
          <w:color w:val="003366"/>
          <w:sz w:val="20"/>
          <w:szCs w:val="20"/>
        </w:rPr>
        <w:endnoteReference w:id="20"/>
      </w:r>
      <w:r w:rsidRPr="00122704">
        <w:rPr>
          <w:rFonts w:ascii="Georgia" w:hAnsi="Georgia" w:cs="Arial"/>
          <w:b/>
          <w:i/>
          <w:color w:val="003366"/>
          <w:sz w:val="20"/>
          <w:szCs w:val="20"/>
        </w:rPr>
        <w:t xml:space="preserve"> pertaining to this revised guidance.</w:t>
      </w:r>
    </w:p>
    <w:p w:rsidR="00525B9E" w:rsidRDefault="00525B9E" w:rsidP="000E6A0E">
      <w:pPr>
        <w:pStyle w:val="Heading"/>
        <w:rPr>
          <w:color w:val="002060"/>
          <w:sz w:val="24"/>
          <w:szCs w:val="24"/>
        </w:rPr>
      </w:pPr>
    </w:p>
    <w:p w:rsidR="000E6A0E" w:rsidRPr="00C83D41" w:rsidRDefault="000E6A0E" w:rsidP="000E6A0E">
      <w:pPr>
        <w:pStyle w:val="Heading"/>
        <w:rPr>
          <w:color w:val="002060"/>
          <w:sz w:val="24"/>
          <w:szCs w:val="24"/>
        </w:rPr>
      </w:pPr>
      <w:r>
        <w:rPr>
          <w:color w:val="002060"/>
          <w:sz w:val="24"/>
          <w:szCs w:val="24"/>
        </w:rPr>
        <w:t xml:space="preserve">Treasury rule offers additional help for 2010 PB oil spill </w:t>
      </w:r>
      <w:r w:rsidRPr="00C83D41">
        <w:rPr>
          <w:color w:val="002060"/>
          <w:sz w:val="24"/>
          <w:szCs w:val="24"/>
        </w:rPr>
        <w:br/>
      </w:r>
    </w:p>
    <w:p w:rsidR="000E6A0E" w:rsidRDefault="000E6A0E" w:rsidP="000E6A0E">
      <w:pPr>
        <w:pStyle w:val="Heading"/>
        <w:rPr>
          <w:color w:val="auto"/>
          <w:sz w:val="24"/>
          <w:szCs w:val="24"/>
        </w:rPr>
      </w:pPr>
      <w:r w:rsidRPr="003719DC">
        <w:rPr>
          <w:rFonts w:ascii="Georgia" w:hAnsi="Georgia"/>
          <w:b w:val="0"/>
          <w:color w:val="auto"/>
          <w:sz w:val="24"/>
          <w:szCs w:val="24"/>
        </w:rPr>
        <w:t>To help further the recovery of communities affected by the Deepwater Horizon oil spill, the U.S. Treasury Department today</w:t>
      </w:r>
      <w:hyperlink r:id="rId42" w:history="1">
        <w:r w:rsidRPr="003719DC">
          <w:rPr>
            <w:rStyle w:val="Hyperlink"/>
            <w:rFonts w:ascii="Georgia" w:hAnsi="Georgia" w:cs="Arial"/>
            <w:b w:val="0"/>
            <w:sz w:val="24"/>
            <w:szCs w:val="24"/>
          </w:rPr>
          <w:t xml:space="preserve"> announced</w:t>
        </w:r>
      </w:hyperlink>
      <w:r>
        <w:rPr>
          <w:rStyle w:val="EndnoteReference"/>
          <w:rFonts w:ascii="Georgia" w:hAnsi="Georgia"/>
          <w:b w:val="0"/>
          <w:color w:val="auto"/>
          <w:sz w:val="24"/>
          <w:szCs w:val="24"/>
        </w:rPr>
        <w:endnoteReference w:id="21"/>
      </w:r>
      <w:r w:rsidRPr="003719DC">
        <w:rPr>
          <w:rFonts w:ascii="Georgia" w:hAnsi="Georgia"/>
          <w:b w:val="0"/>
          <w:color w:val="auto"/>
          <w:sz w:val="24"/>
          <w:szCs w:val="24"/>
        </w:rPr>
        <w:t xml:space="preserve"> that a new rule has been published in the Federal Register for Gulf Coast states and municipalities to receive funding for environmental restoration and economic development projects.  The Interim Final Rule outlines grant programs for Alabama, Florida, Louisiana, Mississippi, and Texas that were established by the Resources and Ecosystem Sustainability, Tourist Opportunities, and Revived Economies of the Gulf Coast States (RESTORE) Act.  </w:t>
      </w:r>
    </w:p>
    <w:p w:rsidR="000E6A0E" w:rsidRDefault="000E6A0E" w:rsidP="000E6A0E">
      <w:pPr>
        <w:rPr>
          <w:rFonts w:ascii="Georgia" w:hAnsi="Georgia" w:cs="Arial"/>
          <w:b/>
          <w:i/>
          <w:color w:val="003366"/>
          <w:sz w:val="20"/>
          <w:szCs w:val="20"/>
        </w:rPr>
      </w:pPr>
    </w:p>
    <w:p w:rsidR="000E6A0E" w:rsidRPr="00DF312B" w:rsidRDefault="000E6A0E" w:rsidP="000E6A0E">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w:t>
      </w:r>
      <w:r w:rsidRPr="003719DC">
        <w:t xml:space="preserve"> </w:t>
      </w:r>
      <w:r>
        <w:rPr>
          <w:rFonts w:ascii="Georgia" w:hAnsi="Georgia" w:cs="Arial"/>
          <w:b/>
          <w:i/>
          <w:color w:val="003366"/>
          <w:sz w:val="20"/>
          <w:szCs w:val="20"/>
        </w:rPr>
        <w:t>Beginning on April 20, 2010, t</w:t>
      </w:r>
      <w:r w:rsidRPr="003719DC">
        <w:rPr>
          <w:rFonts w:ascii="Georgia" w:hAnsi="Georgia" w:cs="Arial"/>
          <w:b/>
          <w:i/>
          <w:color w:val="003366"/>
          <w:sz w:val="20"/>
          <w:szCs w:val="20"/>
        </w:rPr>
        <w:t>he Deepwater Horizon oil spill released millions of barrels of crude oil in the Gulf waters, and caused extensive damage to marine and wildlife habitats, fishing, and tourism.</w:t>
      </w:r>
      <w:r>
        <w:rPr>
          <w:rFonts w:ascii="Georgia" w:hAnsi="Georgia" w:cs="Arial"/>
          <w:b/>
          <w:i/>
          <w:color w:val="003366"/>
          <w:sz w:val="20"/>
          <w:szCs w:val="20"/>
        </w:rPr>
        <w:t xml:space="preserve"> The grant programs are designed to help t</w:t>
      </w:r>
      <w:r w:rsidRPr="003719DC">
        <w:rPr>
          <w:rFonts w:ascii="Georgia" w:hAnsi="Georgia" w:cs="Arial"/>
          <w:b/>
          <w:i/>
          <w:color w:val="003366"/>
          <w:sz w:val="20"/>
          <w:szCs w:val="20"/>
        </w:rPr>
        <w:t>he</w:t>
      </w:r>
      <w:r>
        <w:rPr>
          <w:rFonts w:ascii="Georgia" w:hAnsi="Georgia" w:cs="Arial"/>
          <w:b/>
          <w:i/>
          <w:color w:val="003366"/>
          <w:sz w:val="20"/>
          <w:szCs w:val="20"/>
        </w:rPr>
        <w:t xml:space="preserve"> affected</w:t>
      </w:r>
      <w:r w:rsidRPr="003719DC">
        <w:rPr>
          <w:rFonts w:ascii="Georgia" w:hAnsi="Georgia" w:cs="Arial"/>
          <w:b/>
          <w:i/>
          <w:color w:val="003366"/>
          <w:sz w:val="20"/>
          <w:szCs w:val="20"/>
        </w:rPr>
        <w:t xml:space="preserve"> communities, ecosystems, and p</w:t>
      </w:r>
      <w:r>
        <w:rPr>
          <w:rFonts w:ascii="Georgia" w:hAnsi="Georgia" w:cs="Arial"/>
          <w:b/>
          <w:i/>
          <w:color w:val="003366"/>
          <w:sz w:val="20"/>
          <w:szCs w:val="20"/>
        </w:rPr>
        <w:t xml:space="preserve">eople of the Gulf Coast as they </w:t>
      </w:r>
      <w:r w:rsidRPr="003719DC">
        <w:rPr>
          <w:rFonts w:ascii="Georgia" w:hAnsi="Georgia" w:cs="Arial"/>
          <w:b/>
          <w:i/>
          <w:color w:val="003366"/>
          <w:sz w:val="20"/>
          <w:szCs w:val="20"/>
        </w:rPr>
        <w:t>continue to recover from the largest offshore oil spill</w:t>
      </w:r>
      <w:r>
        <w:rPr>
          <w:rFonts w:ascii="Georgia" w:hAnsi="Georgia" w:cs="Arial"/>
          <w:b/>
          <w:i/>
          <w:color w:val="003366"/>
          <w:sz w:val="20"/>
          <w:szCs w:val="20"/>
        </w:rPr>
        <w:t xml:space="preserve"> in U.S. history.</w:t>
      </w:r>
    </w:p>
    <w:p w:rsidR="00301414" w:rsidRPr="00DF312B" w:rsidRDefault="00301414" w:rsidP="000E6A0E">
      <w:pPr>
        <w:pBdr>
          <w:bottom w:val="single" w:sz="12" w:space="1" w:color="auto"/>
        </w:pBdr>
        <w:rPr>
          <w:rFonts w:ascii="Georgia" w:hAnsi="Georgia" w:cs="Arial"/>
          <w:b/>
          <w:i/>
          <w:color w:val="003366"/>
          <w:sz w:val="20"/>
          <w:szCs w:val="20"/>
        </w:rPr>
      </w:pPr>
    </w:p>
    <w:p w:rsidR="000E6A0E" w:rsidRDefault="000E6A0E" w:rsidP="000E6A0E">
      <w:pPr>
        <w:pStyle w:val="Heading"/>
        <w:rPr>
          <w:color w:val="auto"/>
          <w:sz w:val="24"/>
          <w:szCs w:val="24"/>
        </w:rPr>
      </w:pPr>
    </w:p>
    <w:p w:rsidR="000E6A0E" w:rsidRPr="000E6A0E" w:rsidRDefault="000E6A0E" w:rsidP="000E6A0E">
      <w:pPr>
        <w:pStyle w:val="Heading"/>
        <w:rPr>
          <w:rFonts w:ascii="Georgia" w:hAnsi="Georgia"/>
        </w:rPr>
      </w:pPr>
      <w:r w:rsidRPr="000E6A0E">
        <w:t>Items of interest</w:t>
      </w:r>
    </w:p>
    <w:p w:rsidR="000E6A0E" w:rsidRDefault="000E6A0E" w:rsidP="000E6A0E">
      <w:pPr>
        <w:pStyle w:val="Heading"/>
        <w:rPr>
          <w:color w:val="auto"/>
          <w:sz w:val="24"/>
          <w:szCs w:val="24"/>
        </w:rPr>
      </w:pPr>
    </w:p>
    <w:p w:rsidR="000E6A0E" w:rsidRPr="00C83D41" w:rsidRDefault="000E6A0E" w:rsidP="000E6A0E">
      <w:pPr>
        <w:pStyle w:val="Heading"/>
        <w:rPr>
          <w:color w:val="002060"/>
          <w:sz w:val="24"/>
          <w:szCs w:val="24"/>
        </w:rPr>
      </w:pPr>
      <w:r>
        <w:rPr>
          <w:color w:val="002060"/>
          <w:sz w:val="24"/>
          <w:szCs w:val="24"/>
        </w:rPr>
        <w:t>FICO changes credit scoring model with respect to medical collections</w:t>
      </w:r>
      <w:r w:rsidRPr="00C83D41">
        <w:rPr>
          <w:color w:val="002060"/>
          <w:sz w:val="24"/>
          <w:szCs w:val="24"/>
        </w:rPr>
        <w:br/>
      </w:r>
    </w:p>
    <w:p w:rsidR="000E6A0E" w:rsidRDefault="000E6A0E" w:rsidP="000E6A0E">
      <w:pPr>
        <w:pStyle w:val="Heading"/>
        <w:rPr>
          <w:rFonts w:ascii="Georgia" w:hAnsi="Georgia"/>
          <w:i/>
          <w:color w:val="003366"/>
          <w:sz w:val="20"/>
          <w:szCs w:val="20"/>
        </w:rPr>
      </w:pPr>
      <w:r>
        <w:rPr>
          <w:rFonts w:ascii="Georgia" w:hAnsi="Georgia"/>
          <w:b w:val="0"/>
          <w:color w:val="auto"/>
          <w:sz w:val="24"/>
          <w:szCs w:val="24"/>
        </w:rPr>
        <w:t xml:space="preserve">FICO </w:t>
      </w:r>
      <w:hyperlink r:id="rId43" w:history="1">
        <w:r w:rsidRPr="002F355F">
          <w:rPr>
            <w:rStyle w:val="Hyperlink"/>
            <w:rFonts w:ascii="Georgia" w:hAnsi="Georgia" w:cs="Arial"/>
            <w:b w:val="0"/>
            <w:sz w:val="24"/>
            <w:szCs w:val="24"/>
          </w:rPr>
          <w:t>announced</w:t>
        </w:r>
      </w:hyperlink>
      <w:r>
        <w:rPr>
          <w:rStyle w:val="EndnoteReference"/>
          <w:rFonts w:ascii="Georgia" w:hAnsi="Georgia"/>
          <w:b w:val="0"/>
          <w:color w:val="auto"/>
          <w:sz w:val="24"/>
          <w:szCs w:val="24"/>
        </w:rPr>
        <w:endnoteReference w:id="22"/>
      </w:r>
      <w:r w:rsidRPr="002F355F">
        <w:rPr>
          <w:rFonts w:ascii="Georgia" w:hAnsi="Georgia"/>
          <w:b w:val="0"/>
          <w:color w:val="auto"/>
          <w:sz w:val="24"/>
          <w:szCs w:val="24"/>
        </w:rPr>
        <w:t xml:space="preserve"> that the new FICO</w:t>
      </w:r>
      <w:r w:rsidRPr="00224EE5">
        <w:rPr>
          <w:rFonts w:ascii="Georgia" w:hAnsi="Georgia"/>
          <w:b w:val="0"/>
          <w:color w:val="auto"/>
          <w:sz w:val="24"/>
          <w:szCs w:val="24"/>
          <w:vertAlign w:val="superscript"/>
        </w:rPr>
        <w:t>®</w:t>
      </w:r>
      <w:r w:rsidRPr="002F355F">
        <w:rPr>
          <w:rFonts w:ascii="Georgia" w:hAnsi="Georgia"/>
          <w:b w:val="0"/>
          <w:color w:val="auto"/>
          <w:sz w:val="24"/>
          <w:szCs w:val="24"/>
        </w:rPr>
        <w:t xml:space="preserve"> Score 9 introduces a more nuanced way to assess consumer collection information, bypassing paid collection agency accounts and offering a sophisticated treatment differentiating medical from non-medical collection agency accounts. </w:t>
      </w:r>
      <w:r>
        <w:rPr>
          <w:rFonts w:ascii="Georgia" w:hAnsi="Georgia"/>
          <w:b w:val="0"/>
          <w:color w:val="auto"/>
          <w:sz w:val="24"/>
          <w:szCs w:val="24"/>
        </w:rPr>
        <w:t xml:space="preserve">The intent is to </w:t>
      </w:r>
      <w:r w:rsidRPr="002F355F">
        <w:rPr>
          <w:rFonts w:ascii="Georgia" w:hAnsi="Georgia"/>
          <w:b w:val="0"/>
          <w:color w:val="auto"/>
          <w:sz w:val="24"/>
          <w:szCs w:val="24"/>
        </w:rPr>
        <w:t>ensure that medical collections have a lower impact on the score, commensurate with t</w:t>
      </w:r>
      <w:r>
        <w:rPr>
          <w:rFonts w:ascii="Georgia" w:hAnsi="Georgia"/>
          <w:b w:val="0"/>
          <w:color w:val="auto"/>
          <w:sz w:val="24"/>
          <w:szCs w:val="24"/>
        </w:rPr>
        <w:t>he credit risk they represent. FICO’s press release says that t</w:t>
      </w:r>
      <w:r w:rsidRPr="002F355F">
        <w:rPr>
          <w:rFonts w:ascii="Georgia" w:hAnsi="Georgia"/>
          <w:b w:val="0"/>
          <w:color w:val="auto"/>
          <w:sz w:val="24"/>
          <w:szCs w:val="24"/>
        </w:rPr>
        <w:t xml:space="preserve">hese enhancements help lenders because they result in greater precision. </w:t>
      </w:r>
    </w:p>
    <w:p w:rsidR="000E6A0E" w:rsidRDefault="000E6A0E" w:rsidP="000E6A0E">
      <w:pPr>
        <w:pStyle w:val="Heading"/>
        <w:rPr>
          <w:rFonts w:ascii="Georgia" w:hAnsi="Georgia"/>
          <w:i/>
          <w:color w:val="003366"/>
          <w:sz w:val="20"/>
          <w:szCs w:val="20"/>
        </w:rPr>
      </w:pPr>
    </w:p>
    <w:p w:rsidR="000E6A0E" w:rsidRDefault="000E6A0E" w:rsidP="000E6A0E">
      <w:pPr>
        <w:pStyle w:val="Heading"/>
        <w:rPr>
          <w:rFonts w:ascii="Georgia" w:hAnsi="Georgia"/>
          <w:i/>
          <w:color w:val="003366"/>
          <w:sz w:val="20"/>
          <w:szCs w:val="20"/>
        </w:rPr>
      </w:pPr>
      <w:r w:rsidRPr="000930D0">
        <w:rPr>
          <w:rFonts w:ascii="Georgia" w:hAnsi="Georgia"/>
          <w:i/>
          <w:color w:val="003366"/>
          <w:sz w:val="20"/>
          <w:szCs w:val="20"/>
        </w:rPr>
        <w:lastRenderedPageBreak/>
        <w:t>Comment</w:t>
      </w:r>
      <w:r>
        <w:rPr>
          <w:rFonts w:ascii="Georgia" w:hAnsi="Georgia"/>
          <w:i/>
          <w:color w:val="003366"/>
          <w:sz w:val="20"/>
          <w:szCs w:val="20"/>
        </w:rPr>
        <w:t xml:space="preserve">: According to </w:t>
      </w:r>
      <w:r w:rsidRPr="00D268D4">
        <w:rPr>
          <w:rFonts w:ascii="Georgia" w:hAnsi="Georgia"/>
          <w:i/>
          <w:color w:val="003366"/>
          <w:sz w:val="20"/>
          <w:szCs w:val="20"/>
        </w:rPr>
        <w:t>Eddie Johansson</w:t>
      </w:r>
      <w:r>
        <w:rPr>
          <w:rFonts w:ascii="Georgia" w:hAnsi="Georgia"/>
          <w:i/>
          <w:color w:val="003366"/>
          <w:sz w:val="20"/>
          <w:szCs w:val="20"/>
        </w:rPr>
        <w:t xml:space="preserve"> </w:t>
      </w:r>
      <w:r w:rsidRPr="00D268D4">
        <w:rPr>
          <w:rFonts w:ascii="Georgia" w:hAnsi="Georgia"/>
          <w:i/>
          <w:color w:val="003366"/>
          <w:sz w:val="20"/>
          <w:szCs w:val="20"/>
        </w:rPr>
        <w:t xml:space="preserve">President, </w:t>
      </w:r>
      <w:hyperlink r:id="rId44" w:history="1">
        <w:r w:rsidRPr="008C1C99">
          <w:rPr>
            <w:rStyle w:val="Hyperlink"/>
            <w:rFonts w:ascii="Georgia" w:hAnsi="Georgia" w:cs="Arial"/>
            <w:i/>
            <w:sz w:val="20"/>
            <w:szCs w:val="20"/>
          </w:rPr>
          <w:t>Credit Security Group</w:t>
        </w:r>
      </w:hyperlink>
      <w:r>
        <w:rPr>
          <w:rFonts w:ascii="Georgia" w:hAnsi="Georgia"/>
          <w:i/>
          <w:color w:val="003366"/>
          <w:sz w:val="20"/>
          <w:szCs w:val="20"/>
        </w:rPr>
        <w:t>:</w:t>
      </w:r>
    </w:p>
    <w:p w:rsidR="000E6A0E" w:rsidRDefault="000E6A0E" w:rsidP="000E6A0E">
      <w:pPr>
        <w:pStyle w:val="Heading"/>
        <w:rPr>
          <w:rFonts w:ascii="Georgia" w:hAnsi="Georgia"/>
          <w:i/>
          <w:color w:val="003366"/>
          <w:sz w:val="20"/>
          <w:szCs w:val="20"/>
        </w:rPr>
      </w:pPr>
    </w:p>
    <w:p w:rsidR="000E6A0E" w:rsidRPr="00D268D4" w:rsidRDefault="000E6A0E" w:rsidP="000E6A0E">
      <w:pPr>
        <w:pStyle w:val="Heading"/>
        <w:rPr>
          <w:rFonts w:ascii="Georgia" w:hAnsi="Georgia"/>
          <w:i/>
          <w:color w:val="003366"/>
          <w:sz w:val="20"/>
          <w:szCs w:val="20"/>
        </w:rPr>
      </w:pPr>
      <w:r>
        <w:rPr>
          <w:rFonts w:ascii="Georgia" w:hAnsi="Georgia"/>
          <w:i/>
          <w:color w:val="003366"/>
          <w:sz w:val="20"/>
          <w:szCs w:val="20"/>
        </w:rPr>
        <w:t xml:space="preserve"> </w:t>
      </w:r>
      <w:r w:rsidRPr="00D268D4">
        <w:rPr>
          <w:rFonts w:ascii="Georgia" w:hAnsi="Georgia"/>
          <w:i/>
          <w:color w:val="003366"/>
          <w:sz w:val="20"/>
          <w:szCs w:val="20"/>
        </w:rPr>
        <w:t>"Unfortunately, the release of a new FICO scoring model does not automatically result in a change of credit scores for the consumer when they go for a loan. The lender must also use the new FICO model.</w:t>
      </w:r>
    </w:p>
    <w:p w:rsidR="000E6A0E" w:rsidRPr="00D268D4" w:rsidRDefault="000E6A0E" w:rsidP="000E6A0E">
      <w:pPr>
        <w:pStyle w:val="Heading"/>
        <w:rPr>
          <w:rFonts w:ascii="Georgia" w:hAnsi="Georgia"/>
          <w:i/>
          <w:color w:val="003366"/>
          <w:sz w:val="20"/>
          <w:szCs w:val="20"/>
        </w:rPr>
      </w:pPr>
    </w:p>
    <w:p w:rsidR="000E6A0E" w:rsidRPr="00D268D4" w:rsidRDefault="000E6A0E" w:rsidP="000E6A0E">
      <w:pPr>
        <w:pStyle w:val="Heading"/>
        <w:rPr>
          <w:rFonts w:ascii="Georgia" w:hAnsi="Georgia"/>
          <w:i/>
          <w:color w:val="003366"/>
          <w:sz w:val="20"/>
          <w:szCs w:val="20"/>
        </w:rPr>
      </w:pPr>
      <w:r w:rsidRPr="00D268D4">
        <w:rPr>
          <w:rFonts w:ascii="Georgia" w:hAnsi="Georgia"/>
          <w:i/>
          <w:color w:val="003366"/>
          <w:sz w:val="20"/>
          <w:szCs w:val="20"/>
        </w:rPr>
        <w:t>"The only scoring model that matters to the borrower is the one their lender is using. And most lenders are not using the latest FICO model now.</w:t>
      </w:r>
    </w:p>
    <w:p w:rsidR="000E6A0E" w:rsidRPr="00D268D4" w:rsidRDefault="000E6A0E" w:rsidP="000E6A0E">
      <w:pPr>
        <w:pStyle w:val="Heading"/>
        <w:rPr>
          <w:rFonts w:ascii="Georgia" w:hAnsi="Georgia"/>
          <w:i/>
          <w:color w:val="003366"/>
          <w:sz w:val="20"/>
          <w:szCs w:val="20"/>
        </w:rPr>
      </w:pPr>
    </w:p>
    <w:p w:rsidR="000E6A0E" w:rsidRPr="00D268D4" w:rsidRDefault="000E6A0E" w:rsidP="000E6A0E">
      <w:pPr>
        <w:pStyle w:val="Heading"/>
        <w:rPr>
          <w:rFonts w:ascii="Georgia" w:hAnsi="Georgia"/>
          <w:i/>
          <w:color w:val="003366"/>
          <w:sz w:val="20"/>
          <w:szCs w:val="20"/>
        </w:rPr>
      </w:pPr>
      <w:r w:rsidRPr="00D268D4">
        <w:rPr>
          <w:rFonts w:ascii="Georgia" w:hAnsi="Georgia"/>
          <w:i/>
          <w:color w:val="003366"/>
          <w:sz w:val="20"/>
          <w:szCs w:val="20"/>
        </w:rPr>
        <w:t>"In the mortgage loan industry, the major factor is the model Fannie Mae and Freddie Mac use. Both currently use models that are ten years old or older - several generations behind FICO's most recent release, FICO 08.</w:t>
      </w:r>
    </w:p>
    <w:p w:rsidR="000E6A0E" w:rsidRPr="00D268D4" w:rsidRDefault="000E6A0E" w:rsidP="000E6A0E">
      <w:pPr>
        <w:pStyle w:val="Heading"/>
        <w:rPr>
          <w:rFonts w:ascii="Georgia" w:hAnsi="Georgia"/>
          <w:i/>
          <w:color w:val="003366"/>
          <w:sz w:val="20"/>
          <w:szCs w:val="20"/>
        </w:rPr>
      </w:pPr>
    </w:p>
    <w:p w:rsidR="000E6A0E" w:rsidRPr="00D268D4" w:rsidRDefault="000E6A0E" w:rsidP="000E6A0E">
      <w:pPr>
        <w:pStyle w:val="Heading"/>
        <w:rPr>
          <w:rFonts w:ascii="Georgia" w:hAnsi="Georgia"/>
          <w:i/>
          <w:color w:val="003366"/>
          <w:sz w:val="20"/>
          <w:szCs w:val="20"/>
        </w:rPr>
      </w:pPr>
      <w:r w:rsidRPr="00D268D4">
        <w:rPr>
          <w:rFonts w:ascii="Georgia" w:hAnsi="Georgia"/>
          <w:i/>
          <w:color w:val="003366"/>
          <w:sz w:val="20"/>
          <w:szCs w:val="20"/>
        </w:rPr>
        <w:t>"According to reports, the release of the new FICO model follows discussions involving the Consumer Financial Protection Bureau, a new U.S. government agency. So, it's possible that widespread adoption of the new model will not follow the same path as previous model releases. In any case, unless and until the major lenders use the new model, it will not have a major impact on lenders and borrowers."</w:t>
      </w:r>
    </w:p>
    <w:p w:rsidR="00EA036A" w:rsidRPr="00EE562B" w:rsidRDefault="00EA036A" w:rsidP="00EA036A">
      <w:pPr>
        <w:pStyle w:val="Heading"/>
        <w:pBdr>
          <w:bottom w:val="single" w:sz="12" w:space="1" w:color="auto"/>
        </w:pBdr>
        <w:rPr>
          <w:rFonts w:ascii="Georgia" w:hAnsi="Georgia"/>
          <w:b w:val="0"/>
          <w:color w:val="auto"/>
          <w:sz w:val="24"/>
          <w:szCs w:val="24"/>
        </w:rPr>
      </w:pPr>
    </w:p>
    <w:p w:rsidR="00EA036A" w:rsidRPr="000E6A0E" w:rsidRDefault="00EA036A" w:rsidP="00EA036A">
      <w:pPr>
        <w:pStyle w:val="NormalWeb"/>
        <w:rPr>
          <w:rFonts w:ascii="Arial" w:hAnsi="Arial" w:cs="Arial"/>
          <w:b/>
          <w:i/>
          <w:color w:val="FF0000"/>
          <w:sz w:val="40"/>
          <w:szCs w:val="40"/>
        </w:rPr>
      </w:pPr>
      <w:r w:rsidRPr="000E6A0E">
        <w:rPr>
          <w:rFonts w:ascii="Arial" w:hAnsi="Arial" w:cs="Arial"/>
          <w:b/>
          <w:color w:val="FF0000"/>
          <w:sz w:val="40"/>
          <w:szCs w:val="40"/>
        </w:rPr>
        <w:t>Publications, reports, studies, testimony &amp; speeches</w:t>
      </w:r>
    </w:p>
    <w:p w:rsidR="00195914" w:rsidRDefault="000D18DC" w:rsidP="00195914">
      <w:pPr>
        <w:pStyle w:val="Heading"/>
        <w:rPr>
          <w:color w:val="002060"/>
          <w:sz w:val="24"/>
          <w:szCs w:val="24"/>
        </w:rPr>
      </w:pPr>
      <w:r>
        <w:rPr>
          <w:color w:val="002060"/>
          <w:sz w:val="24"/>
          <w:szCs w:val="24"/>
        </w:rPr>
        <w:t>CFPB:</w:t>
      </w:r>
      <w:r w:rsidR="00195914" w:rsidRPr="005607AF">
        <w:rPr>
          <w:color w:val="002060"/>
          <w:sz w:val="24"/>
          <w:szCs w:val="24"/>
        </w:rPr>
        <w:t xml:space="preserve"> Small Debit Purchases Lead to Expensive Overdraft Charges</w:t>
      </w:r>
      <w:r w:rsidR="00195914" w:rsidRPr="00C83D41">
        <w:rPr>
          <w:color w:val="002060"/>
          <w:sz w:val="24"/>
          <w:szCs w:val="24"/>
        </w:rPr>
        <w:br/>
      </w:r>
    </w:p>
    <w:p w:rsidR="00195914" w:rsidRPr="005607AF" w:rsidRDefault="00195914" w:rsidP="00195914">
      <w:pPr>
        <w:pStyle w:val="Heading"/>
        <w:rPr>
          <w:rFonts w:ascii="Georgia" w:hAnsi="Georgia"/>
          <w:b w:val="0"/>
          <w:color w:val="auto"/>
          <w:sz w:val="24"/>
          <w:szCs w:val="24"/>
        </w:rPr>
      </w:pPr>
      <w:r>
        <w:rPr>
          <w:rFonts w:ascii="Georgia" w:hAnsi="Georgia"/>
          <w:b w:val="0"/>
          <w:color w:val="auto"/>
          <w:sz w:val="24"/>
          <w:szCs w:val="24"/>
        </w:rPr>
        <w:t>The CFPB</w:t>
      </w:r>
      <w:r w:rsidRPr="005607AF">
        <w:rPr>
          <w:rFonts w:ascii="Georgia" w:hAnsi="Georgia"/>
          <w:b w:val="0"/>
          <w:color w:val="auto"/>
          <w:sz w:val="24"/>
          <w:szCs w:val="24"/>
        </w:rPr>
        <w:t xml:space="preserve"> released a report</w:t>
      </w:r>
      <w:r>
        <w:rPr>
          <w:rFonts w:ascii="Georgia" w:hAnsi="Georgia"/>
          <w:b w:val="0"/>
          <w:color w:val="auto"/>
          <w:sz w:val="24"/>
          <w:szCs w:val="24"/>
        </w:rPr>
        <w:t xml:space="preserve"> (</w:t>
      </w:r>
      <w:hyperlink r:id="rId45" w:history="1">
        <w:r w:rsidRPr="005607AF">
          <w:rPr>
            <w:rStyle w:val="Hyperlink"/>
            <w:rFonts w:ascii="Georgia" w:hAnsi="Georgia" w:cs="Arial"/>
            <w:b w:val="0"/>
            <w:sz w:val="24"/>
            <w:szCs w:val="24"/>
          </w:rPr>
          <w:t>Data Point: Checking Account Overdraft</w:t>
        </w:r>
      </w:hyperlink>
      <w:r>
        <w:rPr>
          <w:rStyle w:val="EndnoteReference"/>
          <w:rFonts w:ascii="Georgia" w:hAnsi="Georgia"/>
          <w:b w:val="0"/>
          <w:color w:val="auto"/>
          <w:sz w:val="24"/>
          <w:szCs w:val="24"/>
        </w:rPr>
        <w:endnoteReference w:id="23"/>
      </w:r>
      <w:r>
        <w:rPr>
          <w:rFonts w:ascii="Georgia" w:hAnsi="Georgia"/>
          <w:b w:val="0"/>
          <w:color w:val="auto"/>
          <w:sz w:val="24"/>
          <w:szCs w:val="24"/>
        </w:rPr>
        <w:t>)</w:t>
      </w:r>
      <w:r w:rsidRPr="005607AF">
        <w:rPr>
          <w:rFonts w:ascii="Georgia" w:hAnsi="Georgia"/>
          <w:b w:val="0"/>
          <w:color w:val="auto"/>
          <w:sz w:val="24"/>
          <w:szCs w:val="24"/>
        </w:rPr>
        <w:t xml:space="preserve"> that raises concerns about the impact of opting in to overdraft services for debit card and ATM transactions. The study found that the majority of debit card overdraft fees are incurred on transactions of $24 or less and that the majority of overdrafts are repa</w:t>
      </w:r>
      <w:r w:rsidR="0044599B">
        <w:rPr>
          <w:rFonts w:ascii="Georgia" w:hAnsi="Georgia"/>
          <w:b w:val="0"/>
          <w:color w:val="auto"/>
          <w:sz w:val="24"/>
          <w:szCs w:val="24"/>
        </w:rPr>
        <w:t xml:space="preserve">id within three days. The CFPB said that if put into lending terms, </w:t>
      </w:r>
      <w:r w:rsidRPr="005607AF">
        <w:rPr>
          <w:rFonts w:ascii="Georgia" w:hAnsi="Georgia"/>
          <w:b w:val="0"/>
          <w:color w:val="auto"/>
          <w:sz w:val="24"/>
          <w:szCs w:val="24"/>
        </w:rPr>
        <w:t xml:space="preserve">a consumer </w:t>
      </w:r>
      <w:r w:rsidR="0044599B">
        <w:rPr>
          <w:rFonts w:ascii="Georgia" w:hAnsi="Georgia"/>
          <w:b w:val="0"/>
          <w:color w:val="auto"/>
          <w:sz w:val="24"/>
          <w:szCs w:val="24"/>
        </w:rPr>
        <w:t xml:space="preserve">that </w:t>
      </w:r>
      <w:r w:rsidRPr="005607AF">
        <w:rPr>
          <w:rFonts w:ascii="Georgia" w:hAnsi="Georgia"/>
          <w:b w:val="0"/>
          <w:color w:val="auto"/>
          <w:sz w:val="24"/>
          <w:szCs w:val="24"/>
        </w:rPr>
        <w:t xml:space="preserve">borrowed $24 for three days and paid the median overdraft fee of $34, </w:t>
      </w:r>
      <w:r w:rsidR="0044599B">
        <w:rPr>
          <w:rFonts w:ascii="Georgia" w:hAnsi="Georgia"/>
          <w:b w:val="0"/>
          <w:color w:val="auto"/>
          <w:sz w:val="24"/>
          <w:szCs w:val="24"/>
        </w:rPr>
        <w:t>would pay</w:t>
      </w:r>
      <w:r w:rsidRPr="005607AF">
        <w:rPr>
          <w:rFonts w:ascii="Georgia" w:hAnsi="Georgia"/>
          <w:b w:val="0"/>
          <w:color w:val="auto"/>
          <w:sz w:val="24"/>
          <w:szCs w:val="24"/>
        </w:rPr>
        <w:t xml:space="preserve"> a 17,000 percent annual percentage rate (APR).</w:t>
      </w:r>
    </w:p>
    <w:p w:rsidR="00195914" w:rsidRPr="005607AF" w:rsidRDefault="00195914" w:rsidP="00195914">
      <w:pPr>
        <w:pStyle w:val="Heading"/>
        <w:rPr>
          <w:rFonts w:ascii="Georgia" w:hAnsi="Georgia"/>
          <w:b w:val="0"/>
          <w:color w:val="auto"/>
          <w:sz w:val="24"/>
          <w:szCs w:val="24"/>
        </w:rPr>
      </w:pPr>
    </w:p>
    <w:p w:rsidR="00195914" w:rsidRPr="005607AF" w:rsidRDefault="006A5770" w:rsidP="00195914">
      <w:pPr>
        <w:pStyle w:val="Heading"/>
        <w:rPr>
          <w:rFonts w:ascii="Georgia" w:hAnsi="Georgia"/>
          <w:b w:val="0"/>
          <w:color w:val="auto"/>
          <w:sz w:val="24"/>
          <w:szCs w:val="24"/>
        </w:rPr>
      </w:pPr>
      <w:r>
        <w:rPr>
          <w:rFonts w:ascii="Georgia" w:hAnsi="Georgia"/>
          <w:b w:val="0"/>
          <w:color w:val="auto"/>
          <w:sz w:val="24"/>
          <w:szCs w:val="24"/>
        </w:rPr>
        <w:t>Th</w:t>
      </w:r>
      <w:r w:rsidR="00195914">
        <w:rPr>
          <w:rFonts w:ascii="Georgia" w:hAnsi="Georgia"/>
          <w:b w:val="0"/>
          <w:color w:val="auto"/>
          <w:sz w:val="24"/>
          <w:szCs w:val="24"/>
        </w:rPr>
        <w:t>e</w:t>
      </w:r>
      <w:r w:rsidR="00195914" w:rsidRPr="005607AF">
        <w:rPr>
          <w:rFonts w:ascii="Georgia" w:hAnsi="Georgia"/>
          <w:b w:val="0"/>
          <w:color w:val="auto"/>
          <w:sz w:val="24"/>
          <w:szCs w:val="24"/>
        </w:rPr>
        <w:t xml:space="preserve"> study rai</w:t>
      </w:r>
      <w:r>
        <w:rPr>
          <w:rFonts w:ascii="Georgia" w:hAnsi="Georgia"/>
          <w:b w:val="0"/>
          <w:color w:val="auto"/>
          <w:sz w:val="24"/>
          <w:szCs w:val="24"/>
        </w:rPr>
        <w:t>sed</w:t>
      </w:r>
      <w:r w:rsidR="00195914">
        <w:rPr>
          <w:rFonts w:ascii="Georgia" w:hAnsi="Georgia"/>
          <w:b w:val="0"/>
          <w:color w:val="auto"/>
          <w:sz w:val="24"/>
          <w:szCs w:val="24"/>
        </w:rPr>
        <w:t xml:space="preserve"> concerns</w:t>
      </w:r>
      <w:r>
        <w:rPr>
          <w:rFonts w:ascii="Georgia" w:hAnsi="Georgia"/>
          <w:b w:val="0"/>
          <w:color w:val="auto"/>
          <w:sz w:val="24"/>
          <w:szCs w:val="24"/>
        </w:rPr>
        <w:t xml:space="preserve"> at the CFPB</w:t>
      </w:r>
      <w:r w:rsidR="00195914">
        <w:rPr>
          <w:rFonts w:ascii="Georgia" w:hAnsi="Georgia"/>
          <w:b w:val="0"/>
          <w:color w:val="auto"/>
          <w:sz w:val="24"/>
          <w:szCs w:val="24"/>
        </w:rPr>
        <w:t xml:space="preserve"> that despite </w:t>
      </w:r>
      <w:r w:rsidR="00195914" w:rsidRPr="005607AF">
        <w:rPr>
          <w:rFonts w:ascii="Georgia" w:hAnsi="Georgia"/>
          <w:b w:val="0"/>
          <w:color w:val="auto"/>
          <w:sz w:val="24"/>
          <w:szCs w:val="24"/>
        </w:rPr>
        <w:t>recent changes, a small number of consumers are paying large amounts for overdraft, often for advances of small amounts of money fo</w:t>
      </w:r>
      <w:r w:rsidR="00195914">
        <w:rPr>
          <w:rFonts w:ascii="Georgia" w:hAnsi="Georgia"/>
          <w:b w:val="0"/>
          <w:color w:val="auto"/>
          <w:sz w:val="24"/>
          <w:szCs w:val="24"/>
        </w:rPr>
        <w:t>r short periods of time. The</w:t>
      </w:r>
      <w:r w:rsidR="00195914" w:rsidRPr="005607AF">
        <w:rPr>
          <w:rFonts w:ascii="Georgia" w:hAnsi="Georgia"/>
          <w:b w:val="0"/>
          <w:color w:val="auto"/>
          <w:sz w:val="24"/>
          <w:szCs w:val="24"/>
        </w:rPr>
        <w:t xml:space="preserve"> report finds that among the banks in the study, overdraft and NSF fees represent more than half of the fee income on consumer checking accounts. The study found that about 8 percent of accounts incur the vast majority of overdraft fees.</w:t>
      </w:r>
    </w:p>
    <w:p w:rsidR="00195914" w:rsidRPr="005607AF" w:rsidRDefault="00195914" w:rsidP="00195914">
      <w:pPr>
        <w:pStyle w:val="Heading"/>
        <w:rPr>
          <w:rFonts w:ascii="Georgia" w:hAnsi="Georgia"/>
          <w:b w:val="0"/>
          <w:color w:val="auto"/>
          <w:sz w:val="24"/>
          <w:szCs w:val="24"/>
        </w:rPr>
      </w:pPr>
    </w:p>
    <w:p w:rsidR="00195914" w:rsidRDefault="00195914" w:rsidP="00195914">
      <w:pPr>
        <w:pStyle w:val="Heading"/>
        <w:numPr>
          <w:ilvl w:val="0"/>
          <w:numId w:val="43"/>
        </w:numPr>
        <w:rPr>
          <w:rFonts w:ascii="Georgia" w:hAnsi="Georgia"/>
          <w:b w:val="0"/>
          <w:color w:val="auto"/>
          <w:sz w:val="24"/>
          <w:szCs w:val="24"/>
        </w:rPr>
      </w:pPr>
      <w:r w:rsidRPr="005607AF">
        <w:rPr>
          <w:rFonts w:ascii="Georgia" w:hAnsi="Georgia"/>
          <w:b w:val="0"/>
          <w:color w:val="auto"/>
          <w:sz w:val="24"/>
          <w:szCs w:val="24"/>
        </w:rPr>
        <w:t>Consumers use debit cards nearly three times more than writing checks or paying bills online</w:t>
      </w:r>
      <w:r>
        <w:rPr>
          <w:rFonts w:ascii="Georgia" w:hAnsi="Georgia"/>
          <w:b w:val="0"/>
          <w:color w:val="auto"/>
          <w:sz w:val="24"/>
          <w:szCs w:val="24"/>
        </w:rPr>
        <w:t>.</w:t>
      </w:r>
    </w:p>
    <w:p w:rsidR="00195914" w:rsidRPr="005607AF" w:rsidRDefault="00195914" w:rsidP="00195914">
      <w:pPr>
        <w:pStyle w:val="Heading"/>
        <w:rPr>
          <w:rFonts w:ascii="Georgia" w:hAnsi="Georgia"/>
          <w:b w:val="0"/>
          <w:color w:val="auto"/>
          <w:sz w:val="24"/>
          <w:szCs w:val="24"/>
        </w:rPr>
      </w:pPr>
    </w:p>
    <w:p w:rsidR="00195914" w:rsidRDefault="00195914" w:rsidP="00195914">
      <w:pPr>
        <w:pStyle w:val="Heading"/>
        <w:numPr>
          <w:ilvl w:val="0"/>
          <w:numId w:val="43"/>
        </w:numPr>
        <w:rPr>
          <w:rFonts w:ascii="Georgia" w:hAnsi="Georgia"/>
          <w:b w:val="0"/>
          <w:color w:val="auto"/>
          <w:sz w:val="24"/>
          <w:szCs w:val="24"/>
        </w:rPr>
      </w:pPr>
      <w:r w:rsidRPr="005607AF">
        <w:rPr>
          <w:rFonts w:ascii="Georgia" w:hAnsi="Georgia"/>
          <w:b w:val="0"/>
          <w:color w:val="auto"/>
          <w:sz w:val="24"/>
          <w:szCs w:val="24"/>
        </w:rPr>
        <w:t xml:space="preserve">Majority of debit card overdraft fees incurred </w:t>
      </w:r>
      <w:r>
        <w:rPr>
          <w:rFonts w:ascii="Georgia" w:hAnsi="Georgia"/>
          <w:b w:val="0"/>
          <w:color w:val="auto"/>
          <w:sz w:val="24"/>
          <w:szCs w:val="24"/>
        </w:rPr>
        <w:t>on transactions of $24 or less,</w:t>
      </w:r>
    </w:p>
    <w:p w:rsidR="00195914" w:rsidRPr="005607AF" w:rsidRDefault="00195914" w:rsidP="00195914">
      <w:pPr>
        <w:pStyle w:val="Heading"/>
        <w:rPr>
          <w:rFonts w:ascii="Georgia" w:hAnsi="Georgia"/>
          <w:b w:val="0"/>
          <w:color w:val="auto"/>
          <w:sz w:val="24"/>
          <w:szCs w:val="24"/>
        </w:rPr>
      </w:pPr>
    </w:p>
    <w:p w:rsidR="00195914" w:rsidRDefault="00195914" w:rsidP="00195914">
      <w:pPr>
        <w:pStyle w:val="Heading"/>
        <w:numPr>
          <w:ilvl w:val="0"/>
          <w:numId w:val="43"/>
        </w:numPr>
        <w:rPr>
          <w:rFonts w:ascii="Georgia" w:hAnsi="Georgia"/>
          <w:b w:val="0"/>
          <w:color w:val="auto"/>
          <w:sz w:val="24"/>
          <w:szCs w:val="24"/>
        </w:rPr>
      </w:pPr>
      <w:r w:rsidRPr="005607AF">
        <w:rPr>
          <w:rFonts w:ascii="Georgia" w:hAnsi="Georgia"/>
          <w:b w:val="0"/>
          <w:color w:val="auto"/>
          <w:sz w:val="24"/>
          <w:szCs w:val="24"/>
        </w:rPr>
        <w:t>More than half of consumers pay back negative balances within three days</w:t>
      </w:r>
      <w:r>
        <w:rPr>
          <w:rFonts w:ascii="Georgia" w:hAnsi="Georgia"/>
          <w:b w:val="0"/>
          <w:color w:val="auto"/>
          <w:sz w:val="24"/>
          <w:szCs w:val="24"/>
        </w:rPr>
        <w:t>.</w:t>
      </w:r>
    </w:p>
    <w:p w:rsidR="00195914" w:rsidRDefault="00195914" w:rsidP="00195914">
      <w:pPr>
        <w:pStyle w:val="Heading"/>
        <w:rPr>
          <w:rFonts w:ascii="Georgia" w:hAnsi="Georgia"/>
          <w:b w:val="0"/>
          <w:color w:val="auto"/>
          <w:sz w:val="24"/>
          <w:szCs w:val="24"/>
        </w:rPr>
      </w:pPr>
    </w:p>
    <w:p w:rsidR="00195914" w:rsidRDefault="00195914" w:rsidP="00195914">
      <w:pPr>
        <w:pStyle w:val="Heading"/>
        <w:numPr>
          <w:ilvl w:val="0"/>
          <w:numId w:val="43"/>
        </w:numPr>
        <w:rPr>
          <w:rFonts w:ascii="Georgia" w:hAnsi="Georgia"/>
          <w:b w:val="0"/>
          <w:color w:val="auto"/>
          <w:sz w:val="24"/>
          <w:szCs w:val="24"/>
        </w:rPr>
      </w:pPr>
      <w:r w:rsidRPr="005607AF">
        <w:rPr>
          <w:rFonts w:ascii="Georgia" w:hAnsi="Georgia"/>
          <w:b w:val="0"/>
          <w:color w:val="auto"/>
          <w:sz w:val="24"/>
          <w:szCs w:val="24"/>
        </w:rPr>
        <w:t>Consumers pay hig</w:t>
      </w:r>
      <w:r>
        <w:rPr>
          <w:rFonts w:ascii="Georgia" w:hAnsi="Georgia"/>
          <w:b w:val="0"/>
          <w:color w:val="auto"/>
          <w:sz w:val="24"/>
          <w:szCs w:val="24"/>
        </w:rPr>
        <w:t>h costs for overdraft “advances</w:t>
      </w:r>
      <w:r w:rsidRPr="005607AF">
        <w:rPr>
          <w:rFonts w:ascii="Georgia" w:hAnsi="Georgia"/>
          <w:b w:val="0"/>
          <w:color w:val="auto"/>
          <w:sz w:val="24"/>
          <w:szCs w:val="24"/>
        </w:rPr>
        <w:t xml:space="preserve">” account. </w:t>
      </w:r>
    </w:p>
    <w:p w:rsidR="00195914" w:rsidRPr="005607AF" w:rsidRDefault="00195914" w:rsidP="00195914">
      <w:pPr>
        <w:pStyle w:val="Heading"/>
        <w:rPr>
          <w:rFonts w:ascii="Georgia" w:hAnsi="Georgia"/>
          <w:b w:val="0"/>
          <w:color w:val="auto"/>
          <w:sz w:val="24"/>
          <w:szCs w:val="24"/>
        </w:rPr>
      </w:pPr>
    </w:p>
    <w:p w:rsidR="00195914" w:rsidRDefault="00195914" w:rsidP="00195914">
      <w:pPr>
        <w:pStyle w:val="Heading"/>
        <w:numPr>
          <w:ilvl w:val="0"/>
          <w:numId w:val="43"/>
        </w:numPr>
        <w:rPr>
          <w:rFonts w:ascii="Georgia" w:hAnsi="Georgia"/>
          <w:b w:val="0"/>
          <w:color w:val="auto"/>
          <w:sz w:val="24"/>
          <w:szCs w:val="24"/>
        </w:rPr>
      </w:pPr>
      <w:r w:rsidRPr="005607AF">
        <w:rPr>
          <w:rFonts w:ascii="Georgia" w:hAnsi="Georgia"/>
          <w:b w:val="0"/>
          <w:color w:val="auto"/>
          <w:sz w:val="24"/>
          <w:szCs w:val="24"/>
        </w:rPr>
        <w:t>Nearly one in five opted-in consumers overdraf</w:t>
      </w:r>
      <w:r>
        <w:rPr>
          <w:rFonts w:ascii="Georgia" w:hAnsi="Georgia"/>
          <w:b w:val="0"/>
          <w:color w:val="auto"/>
          <w:sz w:val="24"/>
          <w:szCs w:val="24"/>
        </w:rPr>
        <w:t>ts more than ten times per year.</w:t>
      </w:r>
    </w:p>
    <w:p w:rsidR="00195914" w:rsidRDefault="00195914" w:rsidP="00195914">
      <w:pPr>
        <w:pStyle w:val="Heading"/>
        <w:rPr>
          <w:rFonts w:ascii="Georgia" w:hAnsi="Georgia"/>
          <w:b w:val="0"/>
          <w:color w:val="auto"/>
          <w:sz w:val="24"/>
          <w:szCs w:val="24"/>
        </w:rPr>
      </w:pPr>
    </w:p>
    <w:p w:rsidR="00195914" w:rsidRDefault="00195914" w:rsidP="00195914">
      <w:pPr>
        <w:pStyle w:val="Heading"/>
        <w:numPr>
          <w:ilvl w:val="0"/>
          <w:numId w:val="43"/>
        </w:numPr>
        <w:rPr>
          <w:rFonts w:ascii="Georgia" w:hAnsi="Georgia"/>
          <w:b w:val="0"/>
          <w:color w:val="auto"/>
          <w:sz w:val="24"/>
          <w:szCs w:val="24"/>
        </w:rPr>
      </w:pPr>
      <w:r w:rsidRPr="005607AF">
        <w:rPr>
          <w:rFonts w:ascii="Georgia" w:hAnsi="Georgia"/>
          <w:b w:val="0"/>
          <w:color w:val="auto"/>
          <w:sz w:val="24"/>
          <w:szCs w:val="24"/>
        </w:rPr>
        <w:t>Opted-in consumers pay seven times more in o</w:t>
      </w:r>
      <w:r>
        <w:rPr>
          <w:rFonts w:ascii="Georgia" w:hAnsi="Georgia"/>
          <w:b w:val="0"/>
          <w:color w:val="auto"/>
          <w:sz w:val="24"/>
          <w:szCs w:val="24"/>
        </w:rPr>
        <w:t>verdraft and NSF fees per year.</w:t>
      </w:r>
    </w:p>
    <w:p w:rsidR="00195914" w:rsidRPr="005607AF" w:rsidRDefault="00195914" w:rsidP="00195914">
      <w:pPr>
        <w:pStyle w:val="Heading"/>
        <w:rPr>
          <w:rFonts w:ascii="Georgia" w:hAnsi="Georgia"/>
          <w:b w:val="0"/>
          <w:color w:val="auto"/>
          <w:sz w:val="24"/>
          <w:szCs w:val="24"/>
        </w:rPr>
      </w:pPr>
    </w:p>
    <w:p w:rsidR="00195914" w:rsidRDefault="006A5770" w:rsidP="00195914">
      <w:pPr>
        <w:pStyle w:val="Heading"/>
        <w:rPr>
          <w:rFonts w:ascii="Georgia" w:hAnsi="Georgia"/>
          <w:b w:val="0"/>
          <w:color w:val="auto"/>
          <w:sz w:val="24"/>
          <w:szCs w:val="24"/>
        </w:rPr>
      </w:pPr>
      <w:r>
        <w:rPr>
          <w:rFonts w:ascii="Georgia" w:hAnsi="Georgia"/>
          <w:b w:val="0"/>
          <w:color w:val="auto"/>
          <w:sz w:val="24"/>
          <w:szCs w:val="24"/>
        </w:rPr>
        <w:t>Although the</w:t>
      </w:r>
      <w:r w:rsidR="00195914" w:rsidRPr="005607AF">
        <w:rPr>
          <w:rFonts w:ascii="Georgia" w:hAnsi="Georgia"/>
          <w:b w:val="0"/>
          <w:color w:val="auto"/>
          <w:sz w:val="24"/>
          <w:szCs w:val="24"/>
        </w:rPr>
        <w:t xml:space="preserve"> study is based on data from a set of lar</w:t>
      </w:r>
      <w:r>
        <w:rPr>
          <w:rFonts w:ascii="Georgia" w:hAnsi="Georgia"/>
          <w:b w:val="0"/>
          <w:color w:val="auto"/>
          <w:sz w:val="24"/>
          <w:szCs w:val="24"/>
        </w:rPr>
        <w:t xml:space="preserve">ge banks, the CFPB believes that </w:t>
      </w:r>
      <w:r w:rsidR="00C20535">
        <w:rPr>
          <w:rFonts w:ascii="Georgia" w:hAnsi="Georgia"/>
          <w:b w:val="0"/>
          <w:color w:val="auto"/>
          <w:sz w:val="24"/>
          <w:szCs w:val="24"/>
        </w:rPr>
        <w:t>the samples are similar to what one would observe at any institution that offers similar checking account and overdraft products.</w:t>
      </w:r>
    </w:p>
    <w:p w:rsidR="00195914" w:rsidRPr="005607AF" w:rsidRDefault="00195914" w:rsidP="00195914">
      <w:pPr>
        <w:pStyle w:val="Heading"/>
        <w:rPr>
          <w:rFonts w:ascii="Georgia" w:hAnsi="Georgia"/>
          <w:b w:val="0"/>
          <w:color w:val="auto"/>
          <w:sz w:val="24"/>
          <w:szCs w:val="24"/>
        </w:rPr>
      </w:pPr>
    </w:p>
    <w:p w:rsidR="00195914" w:rsidRPr="005607AF" w:rsidRDefault="00195914" w:rsidP="00195914">
      <w:pPr>
        <w:pStyle w:val="Heading"/>
        <w:rPr>
          <w:rFonts w:ascii="Georgia" w:hAnsi="Georgia"/>
          <w:b w:val="0"/>
          <w:color w:val="auto"/>
          <w:sz w:val="24"/>
          <w:szCs w:val="24"/>
        </w:rPr>
      </w:pPr>
      <w:r>
        <w:rPr>
          <w:rFonts w:ascii="Georgia" w:hAnsi="Georgia"/>
          <w:b w:val="0"/>
          <w:color w:val="auto"/>
          <w:sz w:val="24"/>
          <w:szCs w:val="24"/>
        </w:rPr>
        <w:t>Last year, a CFPB</w:t>
      </w:r>
      <w:r w:rsidRPr="005607AF">
        <w:rPr>
          <w:rFonts w:ascii="Georgia" w:hAnsi="Georgia"/>
          <w:b w:val="0"/>
          <w:color w:val="auto"/>
          <w:sz w:val="24"/>
          <w:szCs w:val="24"/>
        </w:rPr>
        <w:t xml:space="preserve"> </w:t>
      </w:r>
      <w:hyperlink r:id="rId46" w:history="1">
        <w:r w:rsidRPr="00195914">
          <w:rPr>
            <w:rStyle w:val="Hyperlink"/>
            <w:rFonts w:ascii="Georgia" w:hAnsi="Georgia" w:cs="Arial"/>
            <w:b w:val="0"/>
            <w:sz w:val="24"/>
            <w:szCs w:val="24"/>
          </w:rPr>
          <w:t>report</w:t>
        </w:r>
      </w:hyperlink>
      <w:r>
        <w:rPr>
          <w:rStyle w:val="EndnoteReference"/>
          <w:rFonts w:ascii="Georgia" w:hAnsi="Georgia"/>
          <w:b w:val="0"/>
          <w:color w:val="auto"/>
          <w:sz w:val="24"/>
          <w:szCs w:val="24"/>
        </w:rPr>
        <w:endnoteReference w:id="24"/>
      </w:r>
      <w:r w:rsidRPr="005607AF">
        <w:rPr>
          <w:rFonts w:ascii="Georgia" w:hAnsi="Georgia"/>
          <w:b w:val="0"/>
          <w:color w:val="auto"/>
          <w:sz w:val="24"/>
          <w:szCs w:val="24"/>
        </w:rPr>
        <w:t xml:space="preserve"> raised concerns </w:t>
      </w:r>
      <w:r>
        <w:rPr>
          <w:rFonts w:ascii="Georgia" w:hAnsi="Georgia"/>
          <w:b w:val="0"/>
          <w:color w:val="auto"/>
          <w:sz w:val="24"/>
          <w:szCs w:val="24"/>
        </w:rPr>
        <w:t xml:space="preserve">at the CFPB </w:t>
      </w:r>
      <w:r w:rsidRPr="005607AF">
        <w:rPr>
          <w:rFonts w:ascii="Georgia" w:hAnsi="Georgia"/>
          <w:b w:val="0"/>
          <w:color w:val="auto"/>
          <w:sz w:val="24"/>
          <w:szCs w:val="24"/>
        </w:rPr>
        <w:t>about whether overdraft costs can be anticipated and avoided by consumers. The report showed big differences across financial institutions when it comes to overdraft coverage on debit card transactions and ATM withdrawals, drawing into question how banks sell the overdraft account feature. The report also found that consumers who opt in end up with more costs and involuntary account closures.</w:t>
      </w:r>
    </w:p>
    <w:p w:rsidR="00195914" w:rsidRPr="005607AF" w:rsidRDefault="00195914" w:rsidP="00195914">
      <w:pPr>
        <w:pStyle w:val="Heading"/>
        <w:rPr>
          <w:rFonts w:ascii="Georgia" w:hAnsi="Georgia"/>
          <w:b w:val="0"/>
          <w:color w:val="auto"/>
          <w:sz w:val="24"/>
          <w:szCs w:val="24"/>
        </w:rPr>
      </w:pPr>
    </w:p>
    <w:p w:rsidR="00EA036A" w:rsidRDefault="00195914" w:rsidP="00195914">
      <w:pPr>
        <w:pStyle w:val="Heading"/>
        <w:rPr>
          <w:color w:val="auto"/>
          <w:sz w:val="24"/>
          <w:szCs w:val="24"/>
        </w:rPr>
      </w:pPr>
      <w:r w:rsidRPr="005607AF">
        <w:rPr>
          <w:rFonts w:ascii="Georgia" w:hAnsi="Georgia"/>
          <w:b w:val="0"/>
          <w:color w:val="auto"/>
          <w:sz w:val="24"/>
          <w:szCs w:val="24"/>
        </w:rPr>
        <w:t>The CFPB plans further studies on how overdraft works and how it is affecting consumers. The Bureau is also weighing what consumer protections are necessary for overdraft and related</w:t>
      </w:r>
      <w:r>
        <w:rPr>
          <w:rFonts w:ascii="Georgia" w:hAnsi="Georgia"/>
          <w:b w:val="0"/>
          <w:color w:val="auto"/>
          <w:sz w:val="24"/>
          <w:szCs w:val="24"/>
        </w:rPr>
        <w:t xml:space="preserve"> services.</w:t>
      </w:r>
    </w:p>
    <w:p w:rsidR="00EA036A" w:rsidRDefault="00EA036A" w:rsidP="00EA036A">
      <w:pPr>
        <w:pStyle w:val="Heading"/>
        <w:rPr>
          <w:color w:val="auto"/>
          <w:sz w:val="24"/>
          <w:szCs w:val="24"/>
        </w:rPr>
      </w:pPr>
    </w:p>
    <w:p w:rsidR="000D18DC" w:rsidRPr="00EE562B" w:rsidRDefault="000D18DC" w:rsidP="000D18DC">
      <w:pPr>
        <w:pStyle w:val="Heading"/>
        <w:rPr>
          <w:rFonts w:ascii="Georgia" w:hAnsi="Georgia"/>
          <w:b w:val="0"/>
          <w:color w:val="auto"/>
          <w:sz w:val="24"/>
          <w:szCs w:val="24"/>
        </w:rPr>
      </w:pPr>
      <w:r w:rsidRPr="000930D0">
        <w:rPr>
          <w:rFonts w:ascii="Georgia" w:hAnsi="Georgia"/>
          <w:i/>
          <w:color w:val="003366"/>
          <w:sz w:val="20"/>
          <w:szCs w:val="20"/>
        </w:rPr>
        <w:t>Comment</w:t>
      </w:r>
      <w:r>
        <w:rPr>
          <w:rFonts w:ascii="Georgia" w:hAnsi="Georgia"/>
          <w:i/>
          <w:color w:val="003366"/>
          <w:sz w:val="20"/>
          <w:szCs w:val="20"/>
        </w:rPr>
        <w:t xml:space="preserve">: The CFPB is likely to propose a rule on </w:t>
      </w:r>
      <w:r w:rsidR="0044599B">
        <w:rPr>
          <w:rFonts w:ascii="Georgia" w:hAnsi="Georgia"/>
          <w:i/>
          <w:color w:val="003366"/>
          <w:sz w:val="20"/>
          <w:szCs w:val="20"/>
        </w:rPr>
        <w:t>overdraft in 2015. We are disappointed in the press release using an inappropriate, misleading, and alarmist APR figure for an overdraft a consumer covers within three days. We hope this isn’t a harbinger of an overreaching rule. Most community banks work with customers and will gladly assist them with using a check register and balancing their checkbooks.</w:t>
      </w:r>
    </w:p>
    <w:p w:rsidR="000D18DC" w:rsidRDefault="000D18DC" w:rsidP="00EA036A">
      <w:pPr>
        <w:pStyle w:val="Heading"/>
        <w:rPr>
          <w:color w:val="auto"/>
          <w:sz w:val="24"/>
          <w:szCs w:val="24"/>
        </w:rPr>
      </w:pPr>
    </w:p>
    <w:p w:rsidR="006419F3" w:rsidRDefault="006419F3" w:rsidP="00EA036A">
      <w:pPr>
        <w:pStyle w:val="Heading"/>
        <w:rPr>
          <w:color w:val="auto"/>
          <w:sz w:val="24"/>
          <w:szCs w:val="24"/>
        </w:rPr>
      </w:pPr>
    </w:p>
    <w:p w:rsidR="00525B9E" w:rsidRPr="00C83D41" w:rsidRDefault="00525B9E" w:rsidP="00525B9E">
      <w:pPr>
        <w:pStyle w:val="Heading"/>
        <w:rPr>
          <w:color w:val="002060"/>
          <w:sz w:val="24"/>
          <w:szCs w:val="24"/>
        </w:rPr>
      </w:pPr>
      <w:r>
        <w:rPr>
          <w:color w:val="002060"/>
          <w:sz w:val="24"/>
          <w:szCs w:val="24"/>
        </w:rPr>
        <w:t>CFPB annual financial literacy report</w:t>
      </w:r>
      <w:r w:rsidRPr="00C83D41">
        <w:rPr>
          <w:color w:val="002060"/>
          <w:sz w:val="24"/>
          <w:szCs w:val="24"/>
        </w:rPr>
        <w:br/>
      </w:r>
    </w:p>
    <w:p w:rsidR="00525B9E" w:rsidRDefault="00525B9E" w:rsidP="00525B9E">
      <w:pPr>
        <w:pStyle w:val="Heading"/>
        <w:rPr>
          <w:color w:val="auto"/>
          <w:sz w:val="24"/>
          <w:szCs w:val="24"/>
        </w:rPr>
      </w:pPr>
      <w:r>
        <w:rPr>
          <w:rFonts w:ascii="Georgia" w:hAnsi="Georgia"/>
          <w:b w:val="0"/>
          <w:color w:val="auto"/>
          <w:sz w:val="24"/>
          <w:szCs w:val="24"/>
        </w:rPr>
        <w:t>The CFPB published its</w:t>
      </w:r>
      <w:r w:rsidRPr="00157C46">
        <w:rPr>
          <w:rFonts w:ascii="Georgia" w:hAnsi="Georgia"/>
          <w:b w:val="0"/>
          <w:color w:val="auto"/>
          <w:sz w:val="24"/>
          <w:szCs w:val="24"/>
        </w:rPr>
        <w:t xml:space="preserve"> second annual </w:t>
      </w:r>
      <w:hyperlink r:id="rId47" w:history="1">
        <w:r w:rsidRPr="00157C46">
          <w:rPr>
            <w:rStyle w:val="Hyperlink"/>
            <w:rFonts w:ascii="Georgia" w:hAnsi="Georgia" w:cs="Arial"/>
            <w:b w:val="0"/>
            <w:sz w:val="24"/>
            <w:szCs w:val="24"/>
          </w:rPr>
          <w:t>financial literacy report</w:t>
        </w:r>
      </w:hyperlink>
      <w:r>
        <w:rPr>
          <w:rStyle w:val="EndnoteReference"/>
          <w:rFonts w:ascii="Georgia" w:hAnsi="Georgia"/>
          <w:b w:val="0"/>
          <w:color w:val="auto"/>
          <w:sz w:val="24"/>
          <w:szCs w:val="24"/>
        </w:rPr>
        <w:endnoteReference w:id="25"/>
      </w:r>
      <w:r>
        <w:rPr>
          <w:rFonts w:ascii="Georgia" w:hAnsi="Georgia"/>
          <w:b w:val="0"/>
          <w:color w:val="auto"/>
          <w:sz w:val="24"/>
          <w:szCs w:val="24"/>
        </w:rPr>
        <w:t xml:space="preserve"> to Congress. It outlines the CFPB’s strategy and what it has</w:t>
      </w:r>
      <w:r w:rsidRPr="00157C46">
        <w:rPr>
          <w:rFonts w:ascii="Georgia" w:hAnsi="Georgia"/>
          <w:b w:val="0"/>
          <w:color w:val="auto"/>
          <w:sz w:val="24"/>
          <w:szCs w:val="24"/>
        </w:rPr>
        <w:t xml:space="preserve"> done over the past year to enhance financial literacy and capability. </w:t>
      </w:r>
      <w:r>
        <w:rPr>
          <w:rFonts w:ascii="Georgia" w:hAnsi="Georgia"/>
          <w:b w:val="0"/>
          <w:color w:val="auto"/>
          <w:sz w:val="24"/>
          <w:szCs w:val="24"/>
        </w:rPr>
        <w:t xml:space="preserve">The report contains </w:t>
      </w:r>
      <w:r w:rsidRPr="00157C46">
        <w:rPr>
          <w:rFonts w:ascii="Georgia" w:hAnsi="Georgia"/>
          <w:b w:val="0"/>
          <w:color w:val="auto"/>
          <w:sz w:val="24"/>
          <w:szCs w:val="24"/>
        </w:rPr>
        <w:t xml:space="preserve">tools and information to help consumers navigate financial choices. </w:t>
      </w:r>
    </w:p>
    <w:p w:rsidR="00525B9E" w:rsidRDefault="00525B9E" w:rsidP="00EA036A">
      <w:pPr>
        <w:pStyle w:val="Heading"/>
        <w:rPr>
          <w:color w:val="auto"/>
          <w:sz w:val="24"/>
          <w:szCs w:val="24"/>
        </w:rPr>
      </w:pPr>
    </w:p>
    <w:p w:rsidR="00525B9E" w:rsidRDefault="00525B9E" w:rsidP="00EA036A">
      <w:pPr>
        <w:pStyle w:val="Heading"/>
        <w:rPr>
          <w:color w:val="auto"/>
          <w:sz w:val="24"/>
          <w:szCs w:val="24"/>
        </w:rPr>
      </w:pPr>
    </w:p>
    <w:p w:rsidR="00525B9E" w:rsidRPr="00C83D41" w:rsidRDefault="00525B9E" w:rsidP="00525B9E">
      <w:pPr>
        <w:pStyle w:val="Heading"/>
        <w:rPr>
          <w:color w:val="002060"/>
          <w:sz w:val="24"/>
          <w:szCs w:val="24"/>
        </w:rPr>
      </w:pPr>
      <w:r>
        <w:rPr>
          <w:color w:val="002060"/>
          <w:sz w:val="24"/>
          <w:szCs w:val="24"/>
        </w:rPr>
        <w:t>FDIC Supervisory Insights</w:t>
      </w:r>
      <w:r w:rsidRPr="00C83D41">
        <w:rPr>
          <w:color w:val="002060"/>
          <w:sz w:val="24"/>
          <w:szCs w:val="24"/>
        </w:rPr>
        <w:br/>
      </w:r>
    </w:p>
    <w:p w:rsidR="00525B9E" w:rsidRDefault="00525B9E" w:rsidP="00525B9E">
      <w:pPr>
        <w:pStyle w:val="Heading"/>
        <w:rPr>
          <w:rFonts w:ascii="Georgia" w:hAnsi="Georgia"/>
          <w:b w:val="0"/>
          <w:color w:val="auto"/>
          <w:sz w:val="24"/>
          <w:szCs w:val="24"/>
        </w:rPr>
      </w:pPr>
      <w:r w:rsidRPr="003C6253">
        <w:rPr>
          <w:rFonts w:ascii="Georgia" w:hAnsi="Georgia"/>
          <w:b w:val="0"/>
          <w:color w:val="auto"/>
          <w:sz w:val="24"/>
          <w:szCs w:val="24"/>
        </w:rPr>
        <w:t xml:space="preserve">The </w:t>
      </w:r>
      <w:r w:rsidR="003A0C93" w:rsidRPr="003C6253">
        <w:rPr>
          <w:rFonts w:ascii="Georgia" w:hAnsi="Georgia"/>
          <w:b w:val="0"/>
          <w:color w:val="auto"/>
          <w:sz w:val="24"/>
          <w:szCs w:val="24"/>
        </w:rPr>
        <w:t>summer</w:t>
      </w:r>
      <w:r w:rsidRPr="003C6253">
        <w:rPr>
          <w:rFonts w:ascii="Georgia" w:hAnsi="Georgia"/>
          <w:b w:val="0"/>
          <w:color w:val="auto"/>
          <w:sz w:val="24"/>
          <w:szCs w:val="24"/>
        </w:rPr>
        <w:t xml:space="preserve"> 2014 issue of </w:t>
      </w:r>
      <w:hyperlink r:id="rId48" w:history="1">
        <w:r w:rsidRPr="003C6253">
          <w:rPr>
            <w:rStyle w:val="Hyperlink"/>
            <w:rFonts w:ascii="Georgia" w:hAnsi="Georgia" w:cs="Arial"/>
            <w:b w:val="0"/>
            <w:sz w:val="24"/>
            <w:szCs w:val="24"/>
          </w:rPr>
          <w:t>Supervisory Insights</w:t>
        </w:r>
      </w:hyperlink>
      <w:r>
        <w:rPr>
          <w:rStyle w:val="EndnoteReference"/>
          <w:rFonts w:ascii="Georgia" w:hAnsi="Georgia"/>
          <w:b w:val="0"/>
          <w:color w:val="auto"/>
          <w:sz w:val="24"/>
          <w:szCs w:val="24"/>
        </w:rPr>
        <w:endnoteReference w:id="26"/>
      </w:r>
      <w:r w:rsidRPr="003C6253">
        <w:rPr>
          <w:rFonts w:ascii="Georgia" w:hAnsi="Georgia"/>
          <w:b w:val="0"/>
          <w:color w:val="auto"/>
          <w:sz w:val="24"/>
          <w:szCs w:val="24"/>
        </w:rPr>
        <w:t xml:space="preserve"> features articles of interest to examiners, bankers, and supervisors. One article describes the resources available to help banks meet regulatory expectations in ways that may allow them to minimize expenses associated with the use of third-party consultants. Another describes trends since 2010 in “Matters Requiring Board Attention” that examiners identified for well-rated banks. The issue also contains a summary of recent regulatory developments</w:t>
      </w:r>
      <w:r>
        <w:rPr>
          <w:rFonts w:ascii="Georgia" w:hAnsi="Georgia"/>
          <w:b w:val="0"/>
          <w:color w:val="auto"/>
          <w:sz w:val="24"/>
          <w:szCs w:val="24"/>
        </w:rPr>
        <w:t>.</w:t>
      </w:r>
    </w:p>
    <w:p w:rsidR="00525B9E" w:rsidRDefault="00525B9E" w:rsidP="00525B9E">
      <w:pPr>
        <w:pStyle w:val="Heading"/>
        <w:rPr>
          <w:rFonts w:ascii="Georgia" w:hAnsi="Georgia"/>
          <w:b w:val="0"/>
          <w:color w:val="auto"/>
          <w:sz w:val="24"/>
          <w:szCs w:val="24"/>
        </w:rPr>
      </w:pPr>
    </w:p>
    <w:p w:rsidR="00525B9E" w:rsidRDefault="00525B9E" w:rsidP="00525B9E">
      <w:pPr>
        <w:pStyle w:val="Heading"/>
        <w:rPr>
          <w:color w:val="auto"/>
          <w:sz w:val="24"/>
          <w:szCs w:val="24"/>
        </w:rPr>
      </w:pPr>
      <w:r w:rsidRPr="0069736C">
        <w:rPr>
          <w:rFonts w:ascii="Georgia" w:hAnsi="Georgia"/>
          <w:b w:val="0"/>
          <w:color w:val="auto"/>
          <w:sz w:val="24"/>
          <w:szCs w:val="24"/>
        </w:rPr>
        <w:t xml:space="preserve">"Alternatives to Consultants: Meeting Regulatory Expectations with Internal Resources," which appears in the Summer 2014 issue of Supervisory Insights released today, highlights tools and information available from the FDIC to assist community banks in managing their regulatory responsibilities. The article describes how making </w:t>
      </w:r>
      <w:r w:rsidRPr="0069736C">
        <w:rPr>
          <w:rFonts w:ascii="Georgia" w:hAnsi="Georgia"/>
          <w:b w:val="0"/>
          <w:color w:val="auto"/>
          <w:sz w:val="24"/>
          <w:szCs w:val="24"/>
        </w:rPr>
        <w:lastRenderedPageBreak/>
        <w:t>use of available technical assistance and maintaining a dialogue with FDIC staff to clarify regulatory expectations may help institutions economize on the use of outside consulting services. The article also describes ways that institutions may be able to conduct required independent reviews of key bank functions using internal resources.</w:t>
      </w:r>
    </w:p>
    <w:p w:rsidR="00525B9E" w:rsidRDefault="00525B9E" w:rsidP="00525B9E">
      <w:pPr>
        <w:pStyle w:val="Heading"/>
        <w:rPr>
          <w:rFonts w:ascii="Georgia" w:hAnsi="Georgia"/>
          <w:b w:val="0"/>
          <w:color w:val="auto"/>
          <w:sz w:val="24"/>
          <w:szCs w:val="24"/>
        </w:rPr>
      </w:pPr>
    </w:p>
    <w:p w:rsidR="00FD43A6" w:rsidRDefault="00FD43A6" w:rsidP="00EA036A">
      <w:pPr>
        <w:pStyle w:val="Heading"/>
        <w:rPr>
          <w:color w:val="auto"/>
          <w:sz w:val="24"/>
          <w:szCs w:val="24"/>
        </w:rPr>
      </w:pPr>
    </w:p>
    <w:p w:rsidR="00525B9E" w:rsidRPr="00C83D41" w:rsidRDefault="00525B9E" w:rsidP="00525B9E">
      <w:pPr>
        <w:pStyle w:val="Heading"/>
        <w:rPr>
          <w:color w:val="002060"/>
          <w:sz w:val="24"/>
          <w:szCs w:val="24"/>
        </w:rPr>
      </w:pPr>
      <w:r>
        <w:rPr>
          <w:color w:val="002060"/>
          <w:sz w:val="24"/>
          <w:szCs w:val="24"/>
        </w:rPr>
        <w:t>FDIC releases study on minority depository institutions</w:t>
      </w:r>
      <w:r w:rsidRPr="00C83D41">
        <w:rPr>
          <w:color w:val="002060"/>
          <w:sz w:val="24"/>
          <w:szCs w:val="24"/>
        </w:rPr>
        <w:br/>
      </w:r>
    </w:p>
    <w:p w:rsidR="00525B9E" w:rsidRDefault="00525B9E" w:rsidP="00525B9E">
      <w:pPr>
        <w:pStyle w:val="Heading"/>
        <w:rPr>
          <w:rFonts w:ascii="Georgia" w:hAnsi="Georgia"/>
          <w:b w:val="0"/>
          <w:color w:val="auto"/>
          <w:sz w:val="24"/>
          <w:szCs w:val="24"/>
        </w:rPr>
      </w:pPr>
      <w:r>
        <w:rPr>
          <w:rFonts w:ascii="Georgia" w:hAnsi="Georgia"/>
          <w:b w:val="0"/>
          <w:color w:val="auto"/>
          <w:sz w:val="24"/>
          <w:szCs w:val="24"/>
        </w:rPr>
        <w:t>The FDIC</w:t>
      </w:r>
      <w:r w:rsidRPr="001F3233">
        <w:rPr>
          <w:rFonts w:ascii="Georgia" w:hAnsi="Georgia"/>
          <w:b w:val="0"/>
          <w:color w:val="auto"/>
          <w:sz w:val="24"/>
          <w:szCs w:val="24"/>
        </w:rPr>
        <w:t xml:space="preserve"> today released a </w:t>
      </w:r>
      <w:hyperlink r:id="rId49" w:history="1">
        <w:r w:rsidRPr="001F3233">
          <w:rPr>
            <w:rStyle w:val="Hyperlink"/>
            <w:rFonts w:ascii="Georgia" w:hAnsi="Georgia" w:cs="Arial"/>
            <w:b w:val="0"/>
            <w:sz w:val="24"/>
            <w:szCs w:val="24"/>
          </w:rPr>
          <w:t>study</w:t>
        </w:r>
      </w:hyperlink>
      <w:r>
        <w:rPr>
          <w:rStyle w:val="EndnoteReference"/>
          <w:rFonts w:ascii="Georgia" w:hAnsi="Georgia"/>
          <w:b w:val="0"/>
          <w:color w:val="auto"/>
          <w:sz w:val="24"/>
          <w:szCs w:val="24"/>
        </w:rPr>
        <w:endnoteReference w:id="27"/>
      </w:r>
      <w:r w:rsidRPr="001F3233">
        <w:rPr>
          <w:rFonts w:ascii="Georgia" w:hAnsi="Georgia"/>
          <w:b w:val="0"/>
          <w:color w:val="auto"/>
          <w:sz w:val="24"/>
          <w:szCs w:val="24"/>
        </w:rPr>
        <w:t xml:space="preserve"> on the structure, performance and social impact of Minorit</w:t>
      </w:r>
      <w:r>
        <w:rPr>
          <w:rFonts w:ascii="Georgia" w:hAnsi="Georgia"/>
          <w:b w:val="0"/>
          <w:color w:val="auto"/>
          <w:sz w:val="24"/>
          <w:szCs w:val="24"/>
        </w:rPr>
        <w:t>y Depository Institutions (MDIs)</w:t>
      </w:r>
      <w:r w:rsidRPr="001F3233">
        <w:rPr>
          <w:rFonts w:ascii="Georgia" w:hAnsi="Georgia"/>
          <w:b w:val="0"/>
          <w:color w:val="auto"/>
          <w:sz w:val="24"/>
          <w:szCs w:val="24"/>
        </w:rPr>
        <w:t>. The study describes MDIs and FDIC-insured community developmen</w:t>
      </w:r>
      <w:r>
        <w:rPr>
          <w:rFonts w:ascii="Georgia" w:hAnsi="Georgia"/>
          <w:b w:val="0"/>
          <w:color w:val="auto"/>
          <w:sz w:val="24"/>
          <w:szCs w:val="24"/>
        </w:rPr>
        <w:t>t financial institutions</w:t>
      </w:r>
      <w:r w:rsidRPr="001F3233">
        <w:rPr>
          <w:rFonts w:ascii="Georgia" w:hAnsi="Georgia"/>
          <w:b w:val="0"/>
          <w:color w:val="auto"/>
          <w:sz w:val="24"/>
          <w:szCs w:val="24"/>
        </w:rPr>
        <w:t xml:space="preserve"> and where these institutions are located. The remainder of the study is primarily focused on MDIs, exploring how this segment of the financial services industry has changed over time, how MDIs have performed financially, and the extent to which MDIs have achieved their mission in serving the needs of their communities.</w:t>
      </w:r>
      <w:r>
        <w:rPr>
          <w:rFonts w:ascii="Georgia" w:hAnsi="Georgia"/>
          <w:b w:val="0"/>
          <w:color w:val="auto"/>
          <w:sz w:val="24"/>
          <w:szCs w:val="24"/>
        </w:rPr>
        <w:t xml:space="preserve"> </w:t>
      </w:r>
      <w:hyperlink r:id="rId50" w:history="1">
        <w:r w:rsidRPr="001F3233">
          <w:rPr>
            <w:rStyle w:val="Hyperlink"/>
            <w:rFonts w:ascii="Georgia" w:hAnsi="Georgia" w:cs="Arial"/>
            <w:b w:val="0"/>
            <w:sz w:val="24"/>
            <w:szCs w:val="24"/>
          </w:rPr>
          <w:t>Press release</w:t>
        </w:r>
      </w:hyperlink>
      <w:r>
        <w:rPr>
          <w:rFonts w:ascii="Georgia" w:hAnsi="Georgia"/>
          <w:b w:val="0"/>
          <w:color w:val="auto"/>
          <w:sz w:val="24"/>
          <w:szCs w:val="24"/>
        </w:rPr>
        <w:t>.</w:t>
      </w:r>
      <w:r>
        <w:rPr>
          <w:rStyle w:val="EndnoteReference"/>
          <w:rFonts w:ascii="Georgia" w:hAnsi="Georgia"/>
          <w:b w:val="0"/>
          <w:color w:val="auto"/>
          <w:sz w:val="24"/>
          <w:szCs w:val="24"/>
        </w:rPr>
        <w:endnoteReference w:id="28"/>
      </w:r>
    </w:p>
    <w:p w:rsidR="00525B9E" w:rsidRDefault="00525B9E" w:rsidP="00525B9E">
      <w:pPr>
        <w:pStyle w:val="Heading"/>
        <w:rPr>
          <w:color w:val="auto"/>
          <w:sz w:val="24"/>
          <w:szCs w:val="24"/>
        </w:rPr>
      </w:pPr>
    </w:p>
    <w:p w:rsidR="00525B9E" w:rsidRDefault="00525B9E" w:rsidP="00525B9E">
      <w:pPr>
        <w:rPr>
          <w:rFonts w:ascii="Georgia" w:hAnsi="Georgia"/>
        </w:rPr>
      </w:pPr>
    </w:p>
    <w:p w:rsidR="00525B9E" w:rsidRPr="009A5487" w:rsidRDefault="00525B9E" w:rsidP="00525B9E">
      <w:pPr>
        <w:rPr>
          <w:rFonts w:ascii="Arial" w:hAnsi="Arial" w:cs="Arial"/>
          <w:b/>
          <w:color w:val="003366"/>
        </w:rPr>
      </w:pPr>
      <w:r w:rsidRPr="009A5487">
        <w:rPr>
          <w:rFonts w:ascii="Arial" w:hAnsi="Arial" w:cs="Arial"/>
          <w:b/>
          <w:color w:val="003366"/>
        </w:rPr>
        <w:t>FedFlash</w:t>
      </w:r>
      <w:r>
        <w:rPr>
          <w:rFonts w:ascii="Arial" w:hAnsi="Arial" w:cs="Arial"/>
          <w:b/>
          <w:color w:val="003366"/>
        </w:rPr>
        <w:t xml:space="preserve"> for August</w:t>
      </w:r>
    </w:p>
    <w:p w:rsidR="00525B9E" w:rsidRPr="00E92DB3" w:rsidRDefault="00525B9E" w:rsidP="00525B9E">
      <w:pPr>
        <w:pStyle w:val="ListParagraph"/>
        <w:rPr>
          <w:rFonts w:ascii="Arial" w:hAnsi="Arial" w:cs="Arial"/>
          <w:b/>
          <w:color w:val="003366"/>
          <w:sz w:val="22"/>
          <w:szCs w:val="22"/>
        </w:rPr>
      </w:pPr>
    </w:p>
    <w:p w:rsidR="00525B9E" w:rsidRDefault="00525B9E" w:rsidP="00525B9E">
      <w:r w:rsidRPr="005D1143">
        <w:rPr>
          <w:rFonts w:ascii="Georgia" w:hAnsi="Georgia" w:cs="Arial"/>
        </w:rPr>
        <w:t xml:space="preserve">The </w:t>
      </w:r>
      <w:hyperlink r:id="rId51" w:history="1">
        <w:r>
          <w:rPr>
            <w:rStyle w:val="Hyperlink"/>
            <w:rFonts w:ascii="Georgia" w:hAnsi="Georgia" w:cs="Arial"/>
          </w:rPr>
          <w:t>August updates</w:t>
        </w:r>
      </w:hyperlink>
      <w:r w:rsidRPr="005D1143">
        <w:rPr>
          <w:rStyle w:val="EndnoteReference"/>
          <w:rFonts w:ascii="Georgia" w:hAnsi="Georgia"/>
        </w:rPr>
        <w:endnoteReference w:id="29"/>
      </w:r>
      <w:r>
        <w:t xml:space="preserve"> include these articles:</w:t>
      </w:r>
    </w:p>
    <w:p w:rsidR="00525B9E" w:rsidRPr="00965D7D" w:rsidRDefault="006B55C4" w:rsidP="00525B9E">
      <w:pPr>
        <w:pStyle w:val="NormalWeb"/>
        <w:rPr>
          <w:rFonts w:ascii="Georgia" w:hAnsi="Georgia"/>
          <w:color w:val="0000FF"/>
          <w:sz w:val="24"/>
          <w:szCs w:val="24"/>
        </w:rPr>
      </w:pPr>
      <w:hyperlink r:id="rId52" w:tgtFrame="_blank" w:history="1">
        <w:r w:rsidR="00525B9E" w:rsidRPr="00965D7D">
          <w:rPr>
            <w:rStyle w:val="Hyperlink"/>
            <w:rFonts w:ascii="Georgia" w:hAnsi="Georgia"/>
            <w:sz w:val="24"/>
            <w:szCs w:val="24"/>
          </w:rPr>
          <w:t>Reminder - Updated FedLine security token driver software has been shipped</w:t>
        </w:r>
      </w:hyperlink>
    </w:p>
    <w:p w:rsidR="00525B9E" w:rsidRPr="00965D7D" w:rsidRDefault="006B55C4" w:rsidP="00525B9E">
      <w:pPr>
        <w:pStyle w:val="NormalWeb"/>
        <w:rPr>
          <w:rFonts w:ascii="Georgia" w:hAnsi="Georgia"/>
          <w:color w:val="0000FF"/>
          <w:sz w:val="24"/>
          <w:szCs w:val="24"/>
        </w:rPr>
      </w:pPr>
      <w:hyperlink r:id="rId53" w:tgtFrame="_blank" w:history="1">
        <w:r w:rsidR="00525B9E" w:rsidRPr="00965D7D">
          <w:rPr>
            <w:rStyle w:val="Hyperlink"/>
            <w:rFonts w:ascii="Georgia" w:hAnsi="Georgia"/>
            <w:sz w:val="24"/>
            <w:szCs w:val="24"/>
          </w:rPr>
          <w:t>Federal Reserve Banks announce check product and pricing enhancements</w:t>
        </w:r>
      </w:hyperlink>
    </w:p>
    <w:p w:rsidR="00525B9E" w:rsidRPr="00965D7D" w:rsidRDefault="006B55C4" w:rsidP="00525B9E">
      <w:pPr>
        <w:pStyle w:val="NormalWeb"/>
        <w:rPr>
          <w:rFonts w:ascii="Georgia" w:hAnsi="Georgia"/>
          <w:color w:val="0000FF"/>
          <w:sz w:val="24"/>
          <w:szCs w:val="24"/>
        </w:rPr>
      </w:pPr>
      <w:hyperlink r:id="rId54" w:tgtFrame="_blank" w:history="1">
        <w:r w:rsidR="00525B9E" w:rsidRPr="00965D7D">
          <w:rPr>
            <w:rStyle w:val="Hyperlink"/>
            <w:rFonts w:ascii="Georgia" w:hAnsi="Georgia"/>
            <w:sz w:val="24"/>
            <w:szCs w:val="24"/>
          </w:rPr>
          <w:t>Check Presentment Notifications available via FedLine Web</w:t>
        </w:r>
        <w:r w:rsidR="00525B9E" w:rsidRPr="00965D7D">
          <w:rPr>
            <w:rStyle w:val="Hyperlink"/>
            <w:rFonts w:ascii="Georgia" w:hAnsi="Georgia"/>
            <w:sz w:val="24"/>
            <w:szCs w:val="24"/>
            <w:vertAlign w:val="superscript"/>
          </w:rPr>
          <w:t>®</w:t>
        </w:r>
        <w:r w:rsidR="00525B9E" w:rsidRPr="00965D7D">
          <w:rPr>
            <w:rStyle w:val="Hyperlink"/>
            <w:rFonts w:ascii="Georgia" w:hAnsi="Georgia"/>
            <w:sz w:val="24"/>
            <w:szCs w:val="24"/>
          </w:rPr>
          <w:t xml:space="preserve"> and FedMail</w:t>
        </w:r>
        <w:r w:rsidR="00525B9E" w:rsidRPr="00965D7D">
          <w:rPr>
            <w:rStyle w:val="Hyperlink"/>
            <w:rFonts w:ascii="Georgia" w:hAnsi="Georgia"/>
            <w:sz w:val="24"/>
            <w:szCs w:val="24"/>
            <w:vertAlign w:val="superscript"/>
          </w:rPr>
          <w:t>®</w:t>
        </w:r>
      </w:hyperlink>
    </w:p>
    <w:p w:rsidR="00525B9E" w:rsidRPr="00965D7D" w:rsidRDefault="006B55C4" w:rsidP="00525B9E">
      <w:pPr>
        <w:pStyle w:val="NormalWeb"/>
        <w:rPr>
          <w:rFonts w:ascii="Georgia" w:hAnsi="Georgia"/>
          <w:color w:val="0000FF"/>
          <w:sz w:val="24"/>
          <w:szCs w:val="24"/>
        </w:rPr>
      </w:pPr>
      <w:hyperlink r:id="rId55" w:tgtFrame="_blank" w:history="1">
        <w:r w:rsidR="00525B9E" w:rsidRPr="00965D7D">
          <w:rPr>
            <w:rStyle w:val="Hyperlink"/>
            <w:rFonts w:ascii="Georgia" w:hAnsi="Georgia"/>
            <w:sz w:val="24"/>
            <w:szCs w:val="24"/>
          </w:rPr>
          <w:t>Federal Reserve Banks to publish new FedReceipt</w:t>
        </w:r>
        <w:r w:rsidR="00525B9E" w:rsidRPr="00965D7D">
          <w:rPr>
            <w:rStyle w:val="Hyperlink"/>
            <w:rFonts w:ascii="Georgia" w:hAnsi="Georgia"/>
            <w:sz w:val="24"/>
            <w:szCs w:val="24"/>
            <w:vertAlign w:val="superscript"/>
          </w:rPr>
          <w:t>®</w:t>
        </w:r>
        <w:r w:rsidR="00525B9E" w:rsidRPr="00965D7D">
          <w:rPr>
            <w:rStyle w:val="Hyperlink"/>
            <w:rFonts w:ascii="Georgia" w:hAnsi="Georgia"/>
            <w:sz w:val="24"/>
            <w:szCs w:val="24"/>
          </w:rPr>
          <w:t xml:space="preserve"> RTNs</w:t>
        </w:r>
      </w:hyperlink>
    </w:p>
    <w:p w:rsidR="00525B9E" w:rsidRPr="00965D7D" w:rsidRDefault="006B55C4" w:rsidP="00525B9E">
      <w:pPr>
        <w:pStyle w:val="NormalWeb"/>
        <w:rPr>
          <w:rFonts w:ascii="Georgia" w:hAnsi="Georgia"/>
          <w:color w:val="0000FF"/>
          <w:sz w:val="24"/>
          <w:szCs w:val="24"/>
        </w:rPr>
      </w:pPr>
      <w:hyperlink r:id="rId56" w:tgtFrame="_blank" w:history="1">
        <w:r w:rsidR="00525B9E" w:rsidRPr="00965D7D">
          <w:rPr>
            <w:rStyle w:val="Hyperlink"/>
            <w:rFonts w:ascii="Georgia" w:hAnsi="Georgia"/>
            <w:sz w:val="24"/>
            <w:szCs w:val="24"/>
          </w:rPr>
          <w:t>Reminder - Upcoming Check Services operations freeze</w:t>
        </w:r>
      </w:hyperlink>
    </w:p>
    <w:p w:rsidR="00525B9E" w:rsidRPr="00965D7D" w:rsidRDefault="006B55C4" w:rsidP="00525B9E">
      <w:pPr>
        <w:rPr>
          <w:rFonts w:ascii="Georgia" w:hAnsi="Georgia"/>
          <w:color w:val="0000FF"/>
        </w:rPr>
      </w:pPr>
      <w:hyperlink r:id="rId57" w:tgtFrame="_blank" w:history="1">
        <w:r w:rsidR="00525B9E" w:rsidRPr="00965D7D">
          <w:rPr>
            <w:rStyle w:val="Hyperlink"/>
            <w:rFonts w:ascii="Georgia" w:hAnsi="Georgia"/>
          </w:rPr>
          <w:t>FedACH Feature: Alert criteria set-up available for new FedACH Risk</w:t>
        </w:r>
        <w:r w:rsidR="00525B9E" w:rsidRPr="00965D7D">
          <w:rPr>
            <w:rStyle w:val="Hyperlink"/>
            <w:rFonts w:ascii="Georgia" w:hAnsi="Georgia"/>
            <w:vertAlign w:val="superscript"/>
          </w:rPr>
          <w:t>®</w:t>
        </w:r>
        <w:r w:rsidR="00525B9E" w:rsidRPr="00965D7D">
          <w:rPr>
            <w:rStyle w:val="Hyperlink"/>
            <w:rFonts w:ascii="Georgia" w:hAnsi="Georgia"/>
          </w:rPr>
          <w:t xml:space="preserve"> RDFI Alert customers</w:t>
        </w:r>
      </w:hyperlink>
    </w:p>
    <w:p w:rsidR="00525B9E" w:rsidRPr="009A5487" w:rsidRDefault="00FD43A6" w:rsidP="00525B9E">
      <w:pPr>
        <w:shd w:val="clear" w:color="auto" w:fill="FFFFFF"/>
        <w:spacing w:before="100" w:beforeAutospacing="1" w:after="100" w:afterAutospacing="1"/>
        <w:rPr>
          <w:rFonts w:ascii="Arial" w:hAnsi="Arial" w:cs="Arial"/>
          <w:b/>
          <w:color w:val="003366"/>
        </w:rPr>
      </w:pPr>
      <w:r>
        <w:rPr>
          <w:rFonts w:ascii="Arial" w:hAnsi="Arial" w:cs="Arial"/>
          <w:b/>
          <w:color w:val="003366"/>
        </w:rPr>
        <w:br/>
      </w:r>
      <w:r w:rsidR="00525B9E" w:rsidRPr="009A5487">
        <w:rPr>
          <w:rFonts w:ascii="Arial" w:hAnsi="Arial" w:cs="Arial"/>
          <w:b/>
          <w:color w:val="003366"/>
        </w:rPr>
        <w:t>Fed issues latest FedFocus</w:t>
      </w:r>
    </w:p>
    <w:p w:rsidR="00525B9E" w:rsidRDefault="006B55C4" w:rsidP="00525B9E">
      <w:pPr>
        <w:rPr>
          <w:rFonts w:ascii="Georgia" w:hAnsi="Georgia" w:cs="Arial"/>
        </w:rPr>
      </w:pPr>
      <w:hyperlink r:id="rId58" w:history="1">
        <w:r w:rsidR="00525B9E" w:rsidRPr="008B6AD1">
          <w:rPr>
            <w:rStyle w:val="Hyperlink"/>
            <w:rFonts w:ascii="Georgia" w:hAnsi="Georgia" w:cs="Arial"/>
          </w:rPr>
          <w:t>FedFocus</w:t>
        </w:r>
      </w:hyperlink>
      <w:r w:rsidR="00525B9E">
        <w:rPr>
          <w:rStyle w:val="EndnoteReference"/>
          <w:rFonts w:ascii="Georgia" w:hAnsi="Georgia"/>
        </w:rPr>
        <w:endnoteReference w:id="30"/>
      </w:r>
      <w:r w:rsidR="00525B9E">
        <w:rPr>
          <w:rFonts w:ascii="Georgia" w:hAnsi="Georgia" w:cs="Arial"/>
        </w:rPr>
        <w:t xml:space="preserve"> provides</w:t>
      </w:r>
      <w:r w:rsidR="00525B9E" w:rsidRPr="008B6AD1">
        <w:rPr>
          <w:rFonts w:ascii="Georgia" w:hAnsi="Georgia" w:cs="Arial"/>
        </w:rPr>
        <w:t xml:space="preserve"> the latest Federal Reserve Financial Services news. Each edition keeps you informed about hot topics in the industry, as well as provides insight into the value of Federal Reserve Financial Services.</w:t>
      </w:r>
      <w:r w:rsidR="00525B9E">
        <w:rPr>
          <w:rFonts w:ascii="Georgia" w:hAnsi="Georgia" w:cs="Arial"/>
        </w:rPr>
        <w:t xml:space="preserve"> The August edition of FedFocus</w:t>
      </w:r>
      <w:r w:rsidR="00525B9E" w:rsidRPr="00AD79B9">
        <w:rPr>
          <w:rFonts w:ascii="Georgia" w:hAnsi="Georgia" w:cs="Arial"/>
        </w:rPr>
        <w:t xml:space="preserve"> includes </w:t>
      </w:r>
      <w:r w:rsidR="00525B9E">
        <w:rPr>
          <w:rFonts w:ascii="Georgia" w:hAnsi="Georgia" w:cs="Arial"/>
        </w:rPr>
        <w:t>these topics: Research studies pave the way for Payment System Improvement Roadmap; NBC Oklahoma helps its business customers help themselves (FedACH Risk DRFI Alert Service; Leverage automation and risk management to grow your corporate customer revenues; The 2013 Federal Reserve Payments Study Detailed Report; and On the rise: ACH transactions.</w:t>
      </w:r>
    </w:p>
    <w:p w:rsidR="00525B9E" w:rsidRDefault="00525B9E" w:rsidP="00525B9E">
      <w:pPr>
        <w:rPr>
          <w:rFonts w:ascii="Georgia" w:hAnsi="Georgia" w:cs="Arial"/>
        </w:rPr>
      </w:pPr>
    </w:p>
    <w:p w:rsidR="00677065" w:rsidRDefault="00677065" w:rsidP="00EA036A">
      <w:pPr>
        <w:pStyle w:val="Heading"/>
        <w:rPr>
          <w:color w:val="auto"/>
          <w:sz w:val="24"/>
          <w:szCs w:val="24"/>
        </w:rPr>
      </w:pPr>
    </w:p>
    <w:p w:rsidR="00661AC3" w:rsidRPr="00C83D41" w:rsidRDefault="008A095B" w:rsidP="00661AC3">
      <w:pPr>
        <w:pStyle w:val="Heading"/>
        <w:rPr>
          <w:color w:val="002060"/>
          <w:sz w:val="24"/>
          <w:szCs w:val="24"/>
        </w:rPr>
      </w:pPr>
      <w:r>
        <w:rPr>
          <w:color w:val="002060"/>
          <w:sz w:val="24"/>
          <w:szCs w:val="24"/>
        </w:rPr>
        <w:lastRenderedPageBreak/>
        <w:t>Fed loan officer survey on bank lending practices</w:t>
      </w:r>
      <w:r w:rsidR="00661AC3" w:rsidRPr="00C83D41">
        <w:rPr>
          <w:color w:val="002060"/>
          <w:sz w:val="24"/>
          <w:szCs w:val="24"/>
        </w:rPr>
        <w:br/>
      </w:r>
    </w:p>
    <w:p w:rsidR="00661AC3" w:rsidRDefault="008A095B" w:rsidP="00661AC3">
      <w:pPr>
        <w:pStyle w:val="Heading"/>
        <w:rPr>
          <w:color w:val="auto"/>
          <w:sz w:val="24"/>
          <w:szCs w:val="24"/>
        </w:rPr>
      </w:pPr>
      <w:r w:rsidRPr="008A095B">
        <w:rPr>
          <w:rFonts w:ascii="Georgia" w:hAnsi="Georgia"/>
          <w:b w:val="0"/>
          <w:color w:val="auto"/>
          <w:sz w:val="24"/>
          <w:szCs w:val="24"/>
        </w:rPr>
        <w:t xml:space="preserve">The </w:t>
      </w:r>
      <w:hyperlink r:id="rId59" w:history="1">
        <w:r w:rsidRPr="008A095B">
          <w:rPr>
            <w:rStyle w:val="Hyperlink"/>
            <w:rFonts w:ascii="Georgia" w:hAnsi="Georgia" w:cs="Arial"/>
            <w:b w:val="0"/>
            <w:sz w:val="24"/>
            <w:szCs w:val="24"/>
          </w:rPr>
          <w:t>July 2014 Senior Loan Officer Opinion Survey on Bank Lending Practices</w:t>
        </w:r>
      </w:hyperlink>
      <w:r>
        <w:rPr>
          <w:rStyle w:val="EndnoteReference"/>
          <w:rFonts w:ascii="Georgia" w:hAnsi="Georgia"/>
          <w:b w:val="0"/>
          <w:color w:val="auto"/>
          <w:sz w:val="24"/>
          <w:szCs w:val="24"/>
        </w:rPr>
        <w:endnoteReference w:id="31"/>
      </w:r>
      <w:r w:rsidRPr="008A095B">
        <w:rPr>
          <w:rFonts w:ascii="Georgia" w:hAnsi="Georgia"/>
          <w:b w:val="0"/>
          <w:color w:val="auto"/>
          <w:sz w:val="24"/>
          <w:szCs w:val="24"/>
        </w:rPr>
        <w:t xml:space="preserve"> addressed changes in the standards and terms on, and demand for, bank loans to businesses and households over the past three months.</w:t>
      </w:r>
    </w:p>
    <w:p w:rsidR="008A095B" w:rsidRDefault="008A095B" w:rsidP="00661AC3">
      <w:pPr>
        <w:rPr>
          <w:rFonts w:ascii="Georgia" w:hAnsi="Georgia" w:cs="Arial"/>
          <w:b/>
          <w:i/>
          <w:color w:val="003366"/>
          <w:sz w:val="20"/>
          <w:szCs w:val="20"/>
        </w:rPr>
      </w:pPr>
    </w:p>
    <w:p w:rsidR="00661AC3" w:rsidRPr="00DF312B" w:rsidRDefault="00661AC3" w:rsidP="00661AC3">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w:t>
      </w:r>
      <w:r w:rsidR="008A095B">
        <w:rPr>
          <w:rFonts w:ascii="Georgia" w:hAnsi="Georgia" w:cs="Arial"/>
          <w:b/>
          <w:i/>
          <w:color w:val="003366"/>
          <w:sz w:val="20"/>
          <w:szCs w:val="20"/>
        </w:rPr>
        <w:t xml:space="preserve"> The survey showed a continued easing of lending standards and terms, including C&amp;I and CRE. Although a majority of banks reported the new ATR/QM loans had no effect on the approval rate of prime conforming mortgages, about half the respondents indicated ATR/QM reduced the approval rate on applications for jumbo loans and nontraditional mortgages. About half of the respondents that originate nontraditional mortgages indicated lower approval rates because of ATR/QM.</w:t>
      </w:r>
    </w:p>
    <w:p w:rsidR="00EA036A" w:rsidRDefault="00EA036A" w:rsidP="00EA036A">
      <w:pPr>
        <w:pStyle w:val="Heading"/>
        <w:rPr>
          <w:rFonts w:ascii="Georgia" w:hAnsi="Georgia"/>
          <w:i/>
          <w:color w:val="003366"/>
          <w:sz w:val="20"/>
          <w:szCs w:val="20"/>
        </w:rPr>
      </w:pPr>
    </w:p>
    <w:p w:rsidR="00661AC3" w:rsidRDefault="00661AC3" w:rsidP="00EA036A">
      <w:pPr>
        <w:pStyle w:val="Heading"/>
        <w:rPr>
          <w:rFonts w:ascii="Georgia" w:hAnsi="Georgia"/>
          <w:i/>
          <w:color w:val="003366"/>
          <w:sz w:val="20"/>
          <w:szCs w:val="20"/>
        </w:rPr>
      </w:pPr>
    </w:p>
    <w:p w:rsidR="00661AC3" w:rsidRPr="00C83D41" w:rsidRDefault="00910FE4" w:rsidP="00661AC3">
      <w:pPr>
        <w:pStyle w:val="Heading"/>
        <w:rPr>
          <w:color w:val="002060"/>
          <w:sz w:val="24"/>
          <w:szCs w:val="24"/>
        </w:rPr>
      </w:pPr>
      <w:r>
        <w:rPr>
          <w:color w:val="002060"/>
          <w:sz w:val="24"/>
          <w:szCs w:val="24"/>
        </w:rPr>
        <w:t>2013 Federal Reserve Payments Study</w:t>
      </w:r>
      <w:r w:rsidR="00661AC3" w:rsidRPr="00C83D41">
        <w:rPr>
          <w:color w:val="002060"/>
          <w:sz w:val="24"/>
          <w:szCs w:val="24"/>
        </w:rPr>
        <w:br/>
      </w:r>
    </w:p>
    <w:p w:rsidR="00910FE4" w:rsidRDefault="00910FE4" w:rsidP="00910FE4">
      <w:pPr>
        <w:pStyle w:val="Heading"/>
        <w:rPr>
          <w:rFonts w:ascii="Georgia" w:hAnsi="Georgia"/>
          <w:b w:val="0"/>
          <w:color w:val="auto"/>
          <w:sz w:val="24"/>
          <w:szCs w:val="24"/>
        </w:rPr>
      </w:pPr>
      <w:r>
        <w:rPr>
          <w:rFonts w:ascii="Georgia" w:hAnsi="Georgia"/>
          <w:b w:val="0"/>
          <w:color w:val="auto"/>
          <w:sz w:val="24"/>
          <w:szCs w:val="24"/>
        </w:rPr>
        <w:t xml:space="preserve">The </w:t>
      </w:r>
      <w:hyperlink r:id="rId60" w:history="1">
        <w:r w:rsidRPr="004554A3">
          <w:rPr>
            <w:rStyle w:val="Hyperlink"/>
            <w:rFonts w:ascii="Georgia" w:hAnsi="Georgia" w:cs="Arial"/>
            <w:b w:val="0"/>
            <w:sz w:val="24"/>
            <w:szCs w:val="24"/>
          </w:rPr>
          <w:t>2013 Federal Reserve Payments Study</w:t>
        </w:r>
      </w:hyperlink>
      <w:r w:rsidR="004554A3">
        <w:rPr>
          <w:rStyle w:val="EndnoteReference"/>
          <w:rFonts w:ascii="Georgia" w:hAnsi="Georgia"/>
          <w:b w:val="0"/>
          <w:color w:val="auto"/>
          <w:sz w:val="24"/>
          <w:szCs w:val="24"/>
        </w:rPr>
        <w:endnoteReference w:id="32"/>
      </w:r>
      <w:r>
        <w:rPr>
          <w:rFonts w:ascii="Georgia" w:hAnsi="Georgia"/>
          <w:b w:val="0"/>
          <w:color w:val="auto"/>
          <w:sz w:val="24"/>
          <w:szCs w:val="24"/>
        </w:rPr>
        <w:t xml:space="preserve"> is a detailed report that</w:t>
      </w:r>
      <w:r w:rsidRPr="00910FE4">
        <w:rPr>
          <w:rFonts w:ascii="Georgia" w:hAnsi="Georgia"/>
          <w:b w:val="0"/>
          <w:color w:val="auto"/>
          <w:sz w:val="24"/>
          <w:szCs w:val="24"/>
        </w:rPr>
        <w:t xml:space="preserve"> complement</w:t>
      </w:r>
      <w:r>
        <w:rPr>
          <w:rFonts w:ascii="Georgia" w:hAnsi="Georgia"/>
          <w:b w:val="0"/>
          <w:color w:val="auto"/>
          <w:sz w:val="24"/>
          <w:szCs w:val="24"/>
        </w:rPr>
        <w:t>s</w:t>
      </w:r>
      <w:r w:rsidRPr="00910FE4">
        <w:rPr>
          <w:rFonts w:ascii="Georgia" w:hAnsi="Georgia"/>
          <w:b w:val="0"/>
          <w:color w:val="auto"/>
          <w:sz w:val="24"/>
          <w:szCs w:val="24"/>
        </w:rPr>
        <w:t xml:space="preserve"> the “Summary Report and Initial Data Release” (Summary Report), which was released in December 2013 and has been updated for consistency with revisions made duri</w:t>
      </w:r>
      <w:r>
        <w:rPr>
          <w:rFonts w:ascii="Georgia" w:hAnsi="Georgia"/>
          <w:b w:val="0"/>
          <w:color w:val="auto"/>
          <w:sz w:val="24"/>
          <w:szCs w:val="24"/>
        </w:rPr>
        <w:t xml:space="preserve">ng preparation of this report. </w:t>
      </w:r>
      <w:r w:rsidRPr="00910FE4">
        <w:rPr>
          <w:rFonts w:ascii="Georgia" w:hAnsi="Georgia"/>
          <w:b w:val="0"/>
          <w:color w:val="auto"/>
          <w:sz w:val="24"/>
          <w:szCs w:val="24"/>
        </w:rPr>
        <w:t>This report includes new information related to noncash payments based on addition</w:t>
      </w:r>
      <w:r>
        <w:rPr>
          <w:rFonts w:ascii="Georgia" w:hAnsi="Georgia"/>
          <w:b w:val="0"/>
          <w:color w:val="auto"/>
          <w:sz w:val="24"/>
          <w:szCs w:val="24"/>
        </w:rPr>
        <w:t xml:space="preserve">al estimates and analysis. For </w:t>
      </w:r>
      <w:r w:rsidRPr="00910FE4">
        <w:rPr>
          <w:rFonts w:ascii="Georgia" w:hAnsi="Georgia"/>
          <w:b w:val="0"/>
          <w:color w:val="auto"/>
          <w:sz w:val="24"/>
          <w:szCs w:val="24"/>
        </w:rPr>
        <w:t>instance, this detailed report provides new insights into the use of cards by consumers and businesses, alternative payment initiation methods, consumer and business domestic and cross-border wire transfers, and an expanded view of cash</w:t>
      </w:r>
      <w:r>
        <w:rPr>
          <w:rFonts w:ascii="Georgia" w:hAnsi="Georgia"/>
          <w:b w:val="0"/>
          <w:color w:val="auto"/>
          <w:sz w:val="24"/>
          <w:szCs w:val="24"/>
        </w:rPr>
        <w:t xml:space="preserve"> deposits and withdrawals from </w:t>
      </w:r>
      <w:r w:rsidRPr="00910FE4">
        <w:rPr>
          <w:rFonts w:ascii="Georgia" w:hAnsi="Georgia"/>
          <w:b w:val="0"/>
          <w:color w:val="auto"/>
          <w:sz w:val="24"/>
          <w:szCs w:val="24"/>
        </w:rPr>
        <w:t>depo</w:t>
      </w:r>
      <w:r>
        <w:rPr>
          <w:rFonts w:ascii="Georgia" w:hAnsi="Georgia"/>
          <w:b w:val="0"/>
          <w:color w:val="auto"/>
          <w:sz w:val="24"/>
          <w:szCs w:val="24"/>
        </w:rPr>
        <w:t>sitory institutions.</w:t>
      </w:r>
      <w:r w:rsidRPr="00910FE4">
        <w:rPr>
          <w:rFonts w:ascii="Georgia" w:hAnsi="Georgia"/>
          <w:b w:val="0"/>
          <w:color w:val="auto"/>
          <w:sz w:val="24"/>
          <w:szCs w:val="24"/>
        </w:rPr>
        <w:t xml:space="preserve"> It also includes information about the number of and balances in consumer and business credit card and transaction depos</w:t>
      </w:r>
      <w:r>
        <w:rPr>
          <w:rFonts w:ascii="Georgia" w:hAnsi="Georgia"/>
          <w:b w:val="0"/>
          <w:color w:val="auto"/>
          <w:sz w:val="24"/>
          <w:szCs w:val="24"/>
        </w:rPr>
        <w:t xml:space="preserve">it accounts, and provides more </w:t>
      </w:r>
      <w:r w:rsidRPr="00910FE4">
        <w:rPr>
          <w:rFonts w:ascii="Georgia" w:hAnsi="Georgia"/>
          <w:b w:val="0"/>
          <w:color w:val="auto"/>
          <w:sz w:val="24"/>
          <w:szCs w:val="24"/>
        </w:rPr>
        <w:t>discussion of the unauthorized third-party fraud payments reported in the Summary Report.</w:t>
      </w:r>
    </w:p>
    <w:p w:rsidR="00661AC3" w:rsidRDefault="00661AC3" w:rsidP="00661AC3">
      <w:pPr>
        <w:pStyle w:val="Heading"/>
        <w:rPr>
          <w:color w:val="auto"/>
          <w:sz w:val="24"/>
          <w:szCs w:val="24"/>
        </w:rPr>
      </w:pPr>
    </w:p>
    <w:p w:rsidR="00661AC3" w:rsidRPr="00DF312B" w:rsidRDefault="00661AC3" w:rsidP="00661AC3">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w:t>
      </w:r>
      <w:r w:rsidR="00B815C5">
        <w:rPr>
          <w:rFonts w:ascii="Georgia" w:hAnsi="Georgia" w:cs="Arial"/>
          <w:b/>
          <w:i/>
          <w:color w:val="003366"/>
          <w:sz w:val="20"/>
          <w:szCs w:val="20"/>
        </w:rPr>
        <w:t xml:space="preserve"> The number of ATM withdrawals using debit cards and general-purpose cards dropped slightly, but growth in the amount of withdrawals has exceeded inflation over the years. There were 287.5 million wire transfers with a value of $1,116.3 trillion. Consumers accounted for only six percent of all transfers by number and 0.14 percent by value. Online bill payments reported by major processors exceeded 3 billion in 2012. There were more than 250 million mobile payments made with a mobile wallet application. Checks continued to decline with 90 percent of the decline in checks for $500 or less, and 45 percent from checks for $50 or less.</w:t>
      </w:r>
      <w:r w:rsidR="00712B30">
        <w:rPr>
          <w:rFonts w:ascii="Georgia" w:hAnsi="Georgia" w:cs="Arial"/>
          <w:b/>
          <w:i/>
          <w:color w:val="003366"/>
          <w:sz w:val="20"/>
          <w:szCs w:val="20"/>
        </w:rPr>
        <w:t xml:space="preserve"> There were 287 million consumer transaction acc</w:t>
      </w:r>
      <w:r w:rsidR="00904EA2">
        <w:rPr>
          <w:rFonts w:ascii="Georgia" w:hAnsi="Georgia" w:cs="Arial"/>
          <w:b/>
          <w:i/>
          <w:color w:val="003366"/>
          <w:sz w:val="20"/>
          <w:szCs w:val="20"/>
        </w:rPr>
        <w:t>ounts with an average value of $</w:t>
      </w:r>
      <w:r w:rsidR="00712B30">
        <w:rPr>
          <w:rFonts w:ascii="Georgia" w:hAnsi="Georgia" w:cs="Arial"/>
          <w:b/>
          <w:i/>
          <w:color w:val="003366"/>
          <w:sz w:val="20"/>
          <w:szCs w:val="20"/>
        </w:rPr>
        <w:t>8,001 and 33 million business transaction accounts with an average value of $62,000. Credit card balances for consumer and business averaged $1,900.</w:t>
      </w:r>
    </w:p>
    <w:p w:rsidR="00661AC3" w:rsidRDefault="00661AC3" w:rsidP="00EA036A">
      <w:pPr>
        <w:pStyle w:val="Heading"/>
        <w:rPr>
          <w:rFonts w:ascii="Georgia" w:hAnsi="Georgia"/>
          <w:i/>
          <w:color w:val="003366"/>
          <w:sz w:val="20"/>
          <w:szCs w:val="20"/>
        </w:rPr>
      </w:pPr>
    </w:p>
    <w:p w:rsidR="00EA036A" w:rsidRDefault="00EA036A" w:rsidP="00EA036A">
      <w:pPr>
        <w:pStyle w:val="Heading"/>
        <w:rPr>
          <w:rFonts w:ascii="Georgia" w:hAnsi="Georgia"/>
          <w:i/>
          <w:color w:val="003366"/>
          <w:sz w:val="20"/>
          <w:szCs w:val="20"/>
        </w:rPr>
      </w:pPr>
    </w:p>
    <w:p w:rsidR="00525B9E" w:rsidRPr="00C83D41" w:rsidRDefault="00525B9E" w:rsidP="00525B9E">
      <w:pPr>
        <w:pStyle w:val="Heading"/>
        <w:rPr>
          <w:color w:val="002060"/>
          <w:sz w:val="24"/>
          <w:szCs w:val="24"/>
        </w:rPr>
      </w:pPr>
      <w:r>
        <w:rPr>
          <w:color w:val="002060"/>
          <w:sz w:val="24"/>
          <w:szCs w:val="24"/>
        </w:rPr>
        <w:t>Federal Reserve issues debit card report to Congress</w:t>
      </w:r>
      <w:r w:rsidRPr="00C83D41">
        <w:rPr>
          <w:color w:val="002060"/>
          <w:sz w:val="24"/>
          <w:szCs w:val="24"/>
        </w:rPr>
        <w:br/>
      </w:r>
    </w:p>
    <w:p w:rsidR="00525B9E" w:rsidRPr="009C6CFD" w:rsidRDefault="00525B9E" w:rsidP="00525B9E">
      <w:pPr>
        <w:pStyle w:val="Heading"/>
        <w:rPr>
          <w:rFonts w:ascii="Georgia" w:hAnsi="Georgia"/>
          <w:b w:val="0"/>
          <w:color w:val="auto"/>
          <w:sz w:val="24"/>
          <w:szCs w:val="24"/>
        </w:rPr>
      </w:pPr>
      <w:r>
        <w:rPr>
          <w:rFonts w:ascii="Georgia" w:hAnsi="Georgia"/>
          <w:b w:val="0"/>
          <w:color w:val="auto"/>
          <w:sz w:val="24"/>
          <w:szCs w:val="24"/>
        </w:rPr>
        <w:t xml:space="preserve">Dodd-Frank Act, which added </w:t>
      </w:r>
      <w:r w:rsidRPr="009C6CFD">
        <w:rPr>
          <w:rFonts w:ascii="Georgia" w:hAnsi="Georgia"/>
          <w:b w:val="0"/>
          <w:color w:val="auto"/>
          <w:sz w:val="24"/>
          <w:szCs w:val="24"/>
        </w:rPr>
        <w:t>section 920 to the Electronic Fund Transfer Act</w:t>
      </w:r>
    </w:p>
    <w:p w:rsidR="00525B9E" w:rsidRDefault="00525B9E" w:rsidP="00525B9E">
      <w:pPr>
        <w:pStyle w:val="Heading"/>
        <w:rPr>
          <w:rFonts w:ascii="Georgia" w:hAnsi="Georgia"/>
          <w:b w:val="0"/>
          <w:color w:val="auto"/>
          <w:sz w:val="24"/>
          <w:szCs w:val="24"/>
        </w:rPr>
      </w:pPr>
      <w:r w:rsidRPr="009C6CFD">
        <w:rPr>
          <w:rFonts w:ascii="Georgia" w:hAnsi="Georgia"/>
          <w:b w:val="0"/>
          <w:color w:val="auto"/>
          <w:sz w:val="24"/>
          <w:szCs w:val="24"/>
        </w:rPr>
        <w:t>(EFTA</w:t>
      </w:r>
      <w:r w:rsidR="003A0C93" w:rsidRPr="009C6CFD">
        <w:rPr>
          <w:rFonts w:ascii="Georgia" w:hAnsi="Georgia"/>
          <w:b w:val="0"/>
          <w:color w:val="auto"/>
          <w:sz w:val="24"/>
          <w:szCs w:val="24"/>
        </w:rPr>
        <w:t>)</w:t>
      </w:r>
      <w:r w:rsidRPr="009C6CFD">
        <w:rPr>
          <w:rFonts w:ascii="Georgia" w:hAnsi="Georgia"/>
          <w:b w:val="0"/>
          <w:color w:val="auto"/>
          <w:sz w:val="24"/>
          <w:szCs w:val="24"/>
        </w:rPr>
        <w:t xml:space="preserve"> requir</w:t>
      </w:r>
      <w:r>
        <w:rPr>
          <w:rFonts w:ascii="Georgia" w:hAnsi="Georgia"/>
          <w:b w:val="0"/>
          <w:color w:val="auto"/>
          <w:sz w:val="24"/>
          <w:szCs w:val="24"/>
        </w:rPr>
        <w:t xml:space="preserve">es the Federal Reserve Board to </w:t>
      </w:r>
      <w:r w:rsidRPr="009C6CFD">
        <w:rPr>
          <w:rFonts w:ascii="Georgia" w:hAnsi="Georgia"/>
          <w:b w:val="0"/>
          <w:color w:val="auto"/>
          <w:sz w:val="24"/>
          <w:szCs w:val="24"/>
        </w:rPr>
        <w:t>report annually to th</w:t>
      </w:r>
      <w:r>
        <w:rPr>
          <w:rFonts w:ascii="Georgia" w:hAnsi="Georgia"/>
          <w:b w:val="0"/>
          <w:color w:val="auto"/>
          <w:sz w:val="24"/>
          <w:szCs w:val="24"/>
        </w:rPr>
        <w:t xml:space="preserve">e Congress on the prevalence of </w:t>
      </w:r>
      <w:r w:rsidRPr="009C6CFD">
        <w:rPr>
          <w:rFonts w:ascii="Georgia" w:hAnsi="Georgia"/>
          <w:b w:val="0"/>
          <w:color w:val="auto"/>
          <w:sz w:val="24"/>
          <w:szCs w:val="24"/>
        </w:rPr>
        <w:t>use of general-use prepa</w:t>
      </w:r>
      <w:r>
        <w:rPr>
          <w:rFonts w:ascii="Georgia" w:hAnsi="Georgia"/>
          <w:b w:val="0"/>
          <w:color w:val="auto"/>
          <w:sz w:val="24"/>
          <w:szCs w:val="24"/>
        </w:rPr>
        <w:t xml:space="preserve">id cards in federal, state, and </w:t>
      </w:r>
      <w:r w:rsidRPr="009C6CFD">
        <w:rPr>
          <w:rFonts w:ascii="Georgia" w:hAnsi="Georgia"/>
          <w:b w:val="0"/>
          <w:color w:val="auto"/>
          <w:sz w:val="24"/>
          <w:szCs w:val="24"/>
        </w:rPr>
        <w:t>local governmen</w:t>
      </w:r>
      <w:r>
        <w:rPr>
          <w:rFonts w:ascii="Georgia" w:hAnsi="Georgia"/>
          <w:b w:val="0"/>
          <w:color w:val="auto"/>
          <w:sz w:val="24"/>
          <w:szCs w:val="24"/>
        </w:rPr>
        <w:t xml:space="preserve">t-administered payment programs </w:t>
      </w:r>
      <w:r w:rsidRPr="009C6CFD">
        <w:rPr>
          <w:rFonts w:ascii="Georgia" w:hAnsi="Georgia"/>
          <w:b w:val="0"/>
          <w:color w:val="auto"/>
          <w:sz w:val="24"/>
          <w:szCs w:val="24"/>
        </w:rPr>
        <w:t>and on the inter</w:t>
      </w:r>
      <w:r>
        <w:rPr>
          <w:rFonts w:ascii="Georgia" w:hAnsi="Georgia"/>
          <w:b w:val="0"/>
          <w:color w:val="auto"/>
          <w:sz w:val="24"/>
          <w:szCs w:val="24"/>
        </w:rPr>
        <w:t xml:space="preserve">change fees and cardholder fees </w:t>
      </w:r>
      <w:r w:rsidRPr="009C6CFD">
        <w:rPr>
          <w:rFonts w:ascii="Georgia" w:hAnsi="Georgia"/>
          <w:b w:val="0"/>
          <w:color w:val="auto"/>
          <w:sz w:val="24"/>
          <w:szCs w:val="24"/>
        </w:rPr>
        <w:t>charged with res</w:t>
      </w:r>
      <w:r>
        <w:rPr>
          <w:rFonts w:ascii="Georgia" w:hAnsi="Georgia"/>
          <w:b w:val="0"/>
          <w:color w:val="auto"/>
          <w:sz w:val="24"/>
          <w:szCs w:val="24"/>
        </w:rPr>
        <w:t xml:space="preserve">pect to the use of such prepaid cards. </w:t>
      </w:r>
      <w:hyperlink r:id="rId61" w:history="1">
        <w:r w:rsidRPr="009C6CFD">
          <w:rPr>
            <w:rStyle w:val="Hyperlink"/>
            <w:rFonts w:ascii="Georgia" w:hAnsi="Georgia" w:cs="Arial"/>
            <w:b w:val="0"/>
            <w:sz w:val="24"/>
            <w:szCs w:val="24"/>
          </w:rPr>
          <w:t>Report to the Congress on Government-Administered General-Use Prepaid Cards</w:t>
        </w:r>
      </w:hyperlink>
      <w:r>
        <w:rPr>
          <w:rFonts w:ascii="Georgia" w:hAnsi="Georgia"/>
          <w:b w:val="0"/>
          <w:color w:val="auto"/>
          <w:sz w:val="24"/>
          <w:szCs w:val="24"/>
        </w:rPr>
        <w:t>.</w:t>
      </w:r>
      <w:r>
        <w:rPr>
          <w:rStyle w:val="EndnoteReference"/>
          <w:rFonts w:ascii="Georgia" w:hAnsi="Georgia"/>
          <w:b w:val="0"/>
          <w:color w:val="auto"/>
          <w:sz w:val="24"/>
          <w:szCs w:val="24"/>
        </w:rPr>
        <w:endnoteReference w:id="33"/>
      </w:r>
    </w:p>
    <w:p w:rsidR="00525B9E" w:rsidRDefault="00525B9E" w:rsidP="00910FE4">
      <w:pPr>
        <w:pStyle w:val="Heading"/>
        <w:rPr>
          <w:b w:val="0"/>
          <w:color w:val="auto"/>
          <w:sz w:val="24"/>
          <w:szCs w:val="24"/>
        </w:rPr>
      </w:pPr>
    </w:p>
    <w:p w:rsidR="00525B9E" w:rsidRDefault="00525B9E" w:rsidP="00910FE4">
      <w:pPr>
        <w:pStyle w:val="Heading"/>
        <w:rPr>
          <w:b w:val="0"/>
          <w:color w:val="auto"/>
          <w:sz w:val="24"/>
          <w:szCs w:val="24"/>
        </w:rPr>
      </w:pPr>
    </w:p>
    <w:p w:rsidR="00525B9E" w:rsidRPr="00C83D41" w:rsidRDefault="00525B9E" w:rsidP="00525B9E">
      <w:pPr>
        <w:pStyle w:val="Heading"/>
        <w:rPr>
          <w:color w:val="002060"/>
          <w:sz w:val="24"/>
          <w:szCs w:val="24"/>
        </w:rPr>
      </w:pPr>
      <w:r>
        <w:rPr>
          <w:color w:val="002060"/>
          <w:sz w:val="24"/>
          <w:szCs w:val="24"/>
        </w:rPr>
        <w:t xml:space="preserve">Fed: Survey of Household Economics and </w:t>
      </w:r>
      <w:r w:rsidR="003A0C93">
        <w:rPr>
          <w:color w:val="002060"/>
          <w:sz w:val="24"/>
          <w:szCs w:val="24"/>
        </w:rPr>
        <w:t>Decision-making</w:t>
      </w:r>
      <w:r w:rsidRPr="00C83D41">
        <w:rPr>
          <w:color w:val="002060"/>
          <w:sz w:val="24"/>
          <w:szCs w:val="24"/>
        </w:rPr>
        <w:br/>
      </w:r>
    </w:p>
    <w:p w:rsidR="00525B9E" w:rsidRDefault="00525B9E" w:rsidP="00525B9E">
      <w:pPr>
        <w:pStyle w:val="Heading"/>
        <w:rPr>
          <w:rFonts w:ascii="Georgia" w:hAnsi="Georgia"/>
          <w:b w:val="0"/>
          <w:color w:val="auto"/>
          <w:sz w:val="24"/>
          <w:szCs w:val="24"/>
        </w:rPr>
      </w:pPr>
      <w:r>
        <w:rPr>
          <w:rFonts w:ascii="Georgia" w:hAnsi="Georgia"/>
          <w:b w:val="0"/>
          <w:color w:val="auto"/>
          <w:sz w:val="24"/>
          <w:szCs w:val="24"/>
        </w:rPr>
        <w:t xml:space="preserve">To better understand the financial state of U.S. households, the Federal Reserve Board conducted a new consumer survey, the results of which are described in the </w:t>
      </w:r>
      <w:hyperlink r:id="rId62" w:history="1">
        <w:r w:rsidRPr="00FE4F6F">
          <w:rPr>
            <w:rStyle w:val="Hyperlink"/>
            <w:rFonts w:ascii="Georgia" w:hAnsi="Georgia" w:cs="Arial"/>
            <w:b w:val="0"/>
            <w:sz w:val="24"/>
            <w:szCs w:val="24"/>
          </w:rPr>
          <w:t xml:space="preserve">Survey of Household Economics and </w:t>
        </w:r>
        <w:r w:rsidR="003A0C93" w:rsidRPr="00FE4F6F">
          <w:rPr>
            <w:rStyle w:val="Hyperlink"/>
            <w:rFonts w:ascii="Georgia" w:hAnsi="Georgia" w:cs="Arial"/>
            <w:b w:val="0"/>
            <w:sz w:val="24"/>
            <w:szCs w:val="24"/>
          </w:rPr>
          <w:t>Decision-making</w:t>
        </w:r>
      </w:hyperlink>
      <w:r>
        <w:rPr>
          <w:rStyle w:val="EndnoteReference"/>
          <w:rFonts w:ascii="Georgia" w:hAnsi="Georgia"/>
          <w:b w:val="0"/>
          <w:color w:val="auto"/>
          <w:sz w:val="24"/>
          <w:szCs w:val="24"/>
        </w:rPr>
        <w:endnoteReference w:id="34"/>
      </w:r>
      <w:r>
        <w:rPr>
          <w:rFonts w:ascii="Georgia" w:hAnsi="Georgia"/>
          <w:b w:val="0"/>
          <w:color w:val="auto"/>
          <w:sz w:val="24"/>
          <w:szCs w:val="24"/>
        </w:rPr>
        <w:t>. The purpose of the report was to capture a snapshot of the financial and economic well-being of U.S. households and the issues they face, as well as to monitor their recovery from the Great Recession and identify perceived risks to their financial stability.</w:t>
      </w:r>
    </w:p>
    <w:p w:rsidR="00525B9E" w:rsidRDefault="00525B9E" w:rsidP="00525B9E">
      <w:pPr>
        <w:pStyle w:val="Heading"/>
        <w:rPr>
          <w:color w:val="auto"/>
          <w:sz w:val="24"/>
          <w:szCs w:val="24"/>
        </w:rPr>
      </w:pPr>
    </w:p>
    <w:p w:rsidR="00525B9E" w:rsidRDefault="00525B9E" w:rsidP="00525B9E">
      <w:pPr>
        <w:pStyle w:val="Heading"/>
        <w:rPr>
          <w:rFonts w:ascii="Georgia" w:hAnsi="Georgia"/>
          <w:i/>
          <w:color w:val="003366"/>
          <w:sz w:val="20"/>
          <w:szCs w:val="20"/>
        </w:rPr>
      </w:pPr>
      <w:r w:rsidRPr="000930D0">
        <w:rPr>
          <w:rFonts w:ascii="Georgia" w:hAnsi="Georgia"/>
          <w:i/>
          <w:color w:val="003366"/>
          <w:sz w:val="20"/>
          <w:szCs w:val="20"/>
        </w:rPr>
        <w:t>Comment</w:t>
      </w:r>
      <w:r>
        <w:rPr>
          <w:rFonts w:ascii="Georgia" w:hAnsi="Georgia"/>
          <w:i/>
          <w:color w:val="003366"/>
          <w:sz w:val="20"/>
          <w:szCs w:val="20"/>
        </w:rPr>
        <w:t>: Sixty-percent of respondents reported that their families are either doing okay or living comfortably financially. Twenty-five percent reported they were just getting by and 13 percent said they were struggling to do so.</w:t>
      </w:r>
    </w:p>
    <w:p w:rsidR="00525B9E" w:rsidRDefault="00525B9E" w:rsidP="00525B9E">
      <w:pPr>
        <w:pStyle w:val="Heading"/>
        <w:rPr>
          <w:rFonts w:ascii="Georgia" w:hAnsi="Georgia"/>
          <w:i/>
          <w:color w:val="003366"/>
          <w:sz w:val="20"/>
          <w:szCs w:val="20"/>
        </w:rPr>
      </w:pPr>
    </w:p>
    <w:p w:rsidR="00525B9E" w:rsidRDefault="00525B9E" w:rsidP="00525B9E">
      <w:pPr>
        <w:pStyle w:val="Heading"/>
        <w:rPr>
          <w:rFonts w:ascii="Georgia" w:hAnsi="Georgia"/>
          <w:i/>
          <w:color w:val="003366"/>
          <w:sz w:val="20"/>
          <w:szCs w:val="20"/>
        </w:rPr>
      </w:pPr>
      <w:r>
        <w:rPr>
          <w:rFonts w:ascii="Georgia" w:hAnsi="Georgia"/>
          <w:i/>
          <w:color w:val="003366"/>
          <w:sz w:val="20"/>
          <w:szCs w:val="20"/>
        </w:rPr>
        <w:t>Thirty-four percent report they are somewhat worse off than 5 years ago, 34 percent report they are about the same, and 30 percent report they were somewhat or much better off.</w:t>
      </w:r>
    </w:p>
    <w:p w:rsidR="00525B9E" w:rsidRDefault="00525B9E" w:rsidP="00525B9E">
      <w:pPr>
        <w:pStyle w:val="Heading"/>
        <w:rPr>
          <w:rFonts w:ascii="Georgia" w:hAnsi="Georgia"/>
          <w:i/>
          <w:color w:val="003366"/>
          <w:sz w:val="20"/>
          <w:szCs w:val="20"/>
        </w:rPr>
      </w:pPr>
    </w:p>
    <w:p w:rsidR="00525B9E" w:rsidRDefault="00525B9E" w:rsidP="00525B9E">
      <w:pPr>
        <w:pStyle w:val="Heading"/>
        <w:rPr>
          <w:rFonts w:ascii="Georgia" w:hAnsi="Georgia"/>
          <w:i/>
          <w:color w:val="003366"/>
          <w:sz w:val="20"/>
          <w:szCs w:val="20"/>
        </w:rPr>
      </w:pPr>
      <w:r>
        <w:rPr>
          <w:rFonts w:ascii="Georgia" w:hAnsi="Georgia"/>
          <w:i/>
          <w:color w:val="003366"/>
          <w:sz w:val="20"/>
          <w:szCs w:val="20"/>
        </w:rPr>
        <w:t>Forty-two percent reported that they had delayed a major purchase or expense because of the recession and 18 percent put off a major life decision.</w:t>
      </w:r>
    </w:p>
    <w:p w:rsidR="00525B9E" w:rsidRDefault="00525B9E" w:rsidP="00525B9E">
      <w:pPr>
        <w:pStyle w:val="Heading"/>
        <w:rPr>
          <w:rFonts w:ascii="Georgia" w:hAnsi="Georgia"/>
          <w:i/>
          <w:color w:val="003366"/>
          <w:sz w:val="20"/>
          <w:szCs w:val="20"/>
        </w:rPr>
      </w:pPr>
    </w:p>
    <w:p w:rsidR="00525B9E" w:rsidRDefault="00525B9E" w:rsidP="00525B9E">
      <w:pPr>
        <w:pStyle w:val="Heading"/>
        <w:rPr>
          <w:rFonts w:ascii="Georgia" w:hAnsi="Georgia"/>
          <w:i/>
          <w:color w:val="003366"/>
          <w:sz w:val="20"/>
          <w:szCs w:val="20"/>
        </w:rPr>
      </w:pPr>
      <w:r>
        <w:rPr>
          <w:rFonts w:ascii="Georgia" w:hAnsi="Georgia"/>
          <w:i/>
          <w:color w:val="003366"/>
          <w:sz w:val="20"/>
          <w:szCs w:val="20"/>
        </w:rPr>
        <w:t xml:space="preserve">Over half of respondents were putting </w:t>
      </w:r>
      <w:r w:rsidR="0044599B">
        <w:rPr>
          <w:rFonts w:ascii="Georgia" w:hAnsi="Georgia"/>
          <w:i/>
          <w:color w:val="003366"/>
          <w:sz w:val="20"/>
          <w:szCs w:val="20"/>
        </w:rPr>
        <w:t>some portion of their income in</w:t>
      </w:r>
      <w:r>
        <w:rPr>
          <w:rFonts w:ascii="Georgia" w:hAnsi="Georgia"/>
          <w:i/>
          <w:color w:val="003366"/>
          <w:sz w:val="20"/>
          <w:szCs w:val="20"/>
        </w:rPr>
        <w:t xml:space="preserve"> savings, but about 1/5</w:t>
      </w:r>
      <w:r w:rsidRPr="007F5D28">
        <w:rPr>
          <w:rFonts w:ascii="Georgia" w:hAnsi="Georgia"/>
          <w:i/>
          <w:color w:val="003366"/>
          <w:sz w:val="20"/>
          <w:szCs w:val="20"/>
          <w:vertAlign w:val="superscript"/>
        </w:rPr>
        <w:t>th</w:t>
      </w:r>
      <w:r>
        <w:rPr>
          <w:rFonts w:ascii="Georgia" w:hAnsi="Georgia"/>
          <w:i/>
          <w:color w:val="003366"/>
          <w:sz w:val="20"/>
          <w:szCs w:val="20"/>
        </w:rPr>
        <w:t xml:space="preserve"> were spending more than they earned.</w:t>
      </w:r>
    </w:p>
    <w:p w:rsidR="00525B9E" w:rsidRDefault="00525B9E" w:rsidP="00525B9E">
      <w:pPr>
        <w:pStyle w:val="Heading"/>
        <w:rPr>
          <w:rFonts w:ascii="Georgia" w:hAnsi="Georgia"/>
          <w:i/>
          <w:color w:val="003366"/>
          <w:sz w:val="20"/>
          <w:szCs w:val="20"/>
        </w:rPr>
      </w:pPr>
    </w:p>
    <w:p w:rsidR="00525B9E" w:rsidRDefault="00525B9E" w:rsidP="00525B9E">
      <w:pPr>
        <w:pStyle w:val="Heading"/>
        <w:rPr>
          <w:rFonts w:ascii="Georgia" w:hAnsi="Georgia"/>
          <w:i/>
          <w:color w:val="003366"/>
          <w:sz w:val="20"/>
          <w:szCs w:val="20"/>
        </w:rPr>
      </w:pPr>
      <w:r>
        <w:rPr>
          <w:rFonts w:ascii="Georgia" w:hAnsi="Georgia"/>
          <w:i/>
          <w:color w:val="003366"/>
          <w:sz w:val="20"/>
          <w:szCs w:val="20"/>
        </w:rPr>
        <w:t>Sixty-one percent reported they expected their income to stay the same the next 12 months, while 21 percent expected it to increase and 16 percent expected it to decline.</w:t>
      </w:r>
    </w:p>
    <w:p w:rsidR="00525B9E" w:rsidRDefault="00525B9E" w:rsidP="00525B9E">
      <w:pPr>
        <w:pStyle w:val="Heading"/>
        <w:rPr>
          <w:rFonts w:ascii="Georgia" w:hAnsi="Georgia"/>
          <w:i/>
          <w:color w:val="003366"/>
          <w:sz w:val="20"/>
          <w:szCs w:val="20"/>
        </w:rPr>
      </w:pPr>
    </w:p>
    <w:p w:rsidR="00525B9E" w:rsidRDefault="00525B9E" w:rsidP="00525B9E">
      <w:pPr>
        <w:pStyle w:val="Heading"/>
        <w:rPr>
          <w:rFonts w:ascii="Georgia" w:hAnsi="Georgia"/>
          <w:i/>
          <w:color w:val="003366"/>
          <w:sz w:val="20"/>
          <w:szCs w:val="20"/>
        </w:rPr>
      </w:pPr>
      <w:r>
        <w:rPr>
          <w:rFonts w:ascii="Georgia" w:hAnsi="Georgia"/>
          <w:i/>
          <w:color w:val="003366"/>
          <w:sz w:val="20"/>
          <w:szCs w:val="20"/>
        </w:rPr>
        <w:t>The report also provides key findings on homeowners, renters, credit experiences and expectations, financing education, savings, retirement, and medical expenses.</w:t>
      </w:r>
    </w:p>
    <w:p w:rsidR="00525B9E" w:rsidRDefault="00525B9E" w:rsidP="00525B9E">
      <w:pPr>
        <w:pStyle w:val="Heading"/>
        <w:rPr>
          <w:rFonts w:ascii="Georgia" w:hAnsi="Georgia"/>
          <w:i/>
          <w:color w:val="003366"/>
          <w:sz w:val="20"/>
          <w:szCs w:val="20"/>
        </w:rPr>
      </w:pPr>
    </w:p>
    <w:p w:rsidR="00525B9E" w:rsidRDefault="00525B9E" w:rsidP="00525B9E">
      <w:pPr>
        <w:pStyle w:val="Heading"/>
        <w:rPr>
          <w:color w:val="auto"/>
          <w:sz w:val="24"/>
          <w:szCs w:val="24"/>
        </w:rPr>
      </w:pPr>
    </w:p>
    <w:p w:rsidR="00525B9E" w:rsidRPr="00C83D41" w:rsidRDefault="00525B9E" w:rsidP="00525B9E">
      <w:pPr>
        <w:pStyle w:val="Heading"/>
        <w:rPr>
          <w:color w:val="002060"/>
          <w:sz w:val="24"/>
          <w:szCs w:val="24"/>
        </w:rPr>
      </w:pPr>
      <w:r>
        <w:rPr>
          <w:color w:val="002060"/>
          <w:sz w:val="24"/>
          <w:szCs w:val="24"/>
        </w:rPr>
        <w:t>Fed paper on fair lending issues of credit cards</w:t>
      </w:r>
      <w:r w:rsidRPr="00C83D41">
        <w:rPr>
          <w:color w:val="002060"/>
          <w:sz w:val="24"/>
          <w:szCs w:val="24"/>
        </w:rPr>
        <w:br/>
      </w:r>
    </w:p>
    <w:p w:rsidR="00525B9E" w:rsidRDefault="00525B9E" w:rsidP="00525B9E">
      <w:pPr>
        <w:pStyle w:val="Heading"/>
        <w:rPr>
          <w:rFonts w:ascii="Georgia" w:hAnsi="Georgia"/>
          <w:b w:val="0"/>
          <w:color w:val="auto"/>
          <w:sz w:val="24"/>
          <w:szCs w:val="24"/>
        </w:rPr>
      </w:pPr>
      <w:r>
        <w:rPr>
          <w:rFonts w:ascii="Georgia" w:hAnsi="Georgia"/>
          <w:b w:val="0"/>
          <w:color w:val="auto"/>
          <w:sz w:val="24"/>
          <w:szCs w:val="24"/>
        </w:rPr>
        <w:t>The Philadelphia Fed issued a</w:t>
      </w:r>
      <w:r w:rsidRPr="00507C8E">
        <w:rPr>
          <w:rFonts w:ascii="Georgia" w:hAnsi="Georgia"/>
          <w:b w:val="0"/>
          <w:color w:val="auto"/>
          <w:sz w:val="24"/>
          <w:szCs w:val="24"/>
        </w:rPr>
        <w:t xml:space="preserve"> paper</w:t>
      </w:r>
      <w:r>
        <w:rPr>
          <w:rFonts w:ascii="Georgia" w:hAnsi="Georgia"/>
          <w:b w:val="0"/>
          <w:color w:val="auto"/>
          <w:sz w:val="24"/>
          <w:szCs w:val="24"/>
        </w:rPr>
        <w:t xml:space="preserve"> entitled </w:t>
      </w:r>
      <w:hyperlink r:id="rId63" w:history="1">
        <w:r w:rsidRPr="00507C8E">
          <w:rPr>
            <w:rStyle w:val="Hyperlink"/>
            <w:rFonts w:ascii="Georgia" w:hAnsi="Georgia" w:cs="Arial"/>
            <w:b w:val="0"/>
            <w:sz w:val="24"/>
            <w:szCs w:val="24"/>
          </w:rPr>
          <w:t>Fair Lending Analysis of Credit Cards</w:t>
        </w:r>
      </w:hyperlink>
      <w:r>
        <w:rPr>
          <w:rStyle w:val="EndnoteReference"/>
          <w:rFonts w:ascii="Georgia" w:hAnsi="Georgia"/>
          <w:b w:val="0"/>
          <w:color w:val="auto"/>
          <w:sz w:val="24"/>
          <w:szCs w:val="24"/>
        </w:rPr>
        <w:endnoteReference w:id="35"/>
      </w:r>
      <w:r w:rsidRPr="00507C8E">
        <w:rPr>
          <w:rFonts w:ascii="Georgia" w:hAnsi="Georgia"/>
          <w:b w:val="0"/>
          <w:color w:val="auto"/>
          <w:sz w:val="24"/>
          <w:szCs w:val="24"/>
        </w:rPr>
        <w:t xml:space="preserve"> </w:t>
      </w:r>
      <w:r>
        <w:rPr>
          <w:rFonts w:ascii="Georgia" w:hAnsi="Georgia"/>
          <w:b w:val="0"/>
          <w:color w:val="auto"/>
          <w:sz w:val="24"/>
          <w:szCs w:val="24"/>
        </w:rPr>
        <w:t xml:space="preserve">that </w:t>
      </w:r>
      <w:r w:rsidRPr="00507C8E">
        <w:rPr>
          <w:rFonts w:ascii="Georgia" w:hAnsi="Georgia"/>
          <w:b w:val="0"/>
          <w:color w:val="auto"/>
          <w:sz w:val="24"/>
          <w:szCs w:val="24"/>
        </w:rPr>
        <w:t>discusses some of the key fair lending risks that can arise in various stages of the marketing, acquisition, and management of credit card accounts, and the analysis that can be employed to manage such risks. Th</w:t>
      </w:r>
      <w:r>
        <w:rPr>
          <w:rFonts w:ascii="Georgia" w:hAnsi="Georgia"/>
          <w:b w:val="0"/>
          <w:color w:val="auto"/>
          <w:sz w:val="24"/>
          <w:szCs w:val="24"/>
        </w:rPr>
        <w:t>e ECOA</w:t>
      </w:r>
      <w:r w:rsidRPr="00507C8E">
        <w:rPr>
          <w:rFonts w:ascii="Georgia" w:hAnsi="Georgia"/>
          <w:b w:val="0"/>
          <w:color w:val="auto"/>
          <w:sz w:val="24"/>
          <w:szCs w:val="24"/>
        </w:rPr>
        <w:t xml:space="preserve"> and its implementing </w:t>
      </w:r>
      <w:r>
        <w:rPr>
          <w:rFonts w:ascii="Georgia" w:hAnsi="Georgia"/>
          <w:b w:val="0"/>
          <w:color w:val="auto"/>
          <w:sz w:val="24"/>
          <w:szCs w:val="24"/>
        </w:rPr>
        <w:t>rule, Reg.</w:t>
      </w:r>
      <w:r w:rsidRPr="00507C8E">
        <w:rPr>
          <w:rFonts w:ascii="Georgia" w:hAnsi="Georgia"/>
          <w:b w:val="0"/>
          <w:color w:val="auto"/>
          <w:sz w:val="24"/>
          <w:szCs w:val="24"/>
        </w:rPr>
        <w:t xml:space="preserve"> B</w:t>
      </w:r>
      <w:r>
        <w:rPr>
          <w:rFonts w:ascii="Georgia" w:hAnsi="Georgia"/>
          <w:b w:val="0"/>
          <w:color w:val="auto"/>
          <w:sz w:val="24"/>
          <w:szCs w:val="24"/>
        </w:rPr>
        <w:t>,</w:t>
      </w:r>
      <w:r w:rsidRPr="00507C8E">
        <w:rPr>
          <w:rFonts w:ascii="Georgia" w:hAnsi="Georgia"/>
          <w:b w:val="0"/>
          <w:color w:val="auto"/>
          <w:sz w:val="24"/>
          <w:szCs w:val="24"/>
        </w:rPr>
        <w:t xml:space="preserve"> prohibit discrimination in all aspects of credit transactions and include specific provisions relating to processes tha</w:t>
      </w:r>
      <w:r>
        <w:rPr>
          <w:rFonts w:ascii="Georgia" w:hAnsi="Georgia"/>
          <w:b w:val="0"/>
          <w:color w:val="auto"/>
          <w:sz w:val="24"/>
          <w:szCs w:val="24"/>
        </w:rPr>
        <w:t>t employ credit scoring models.</w:t>
      </w:r>
    </w:p>
    <w:p w:rsidR="00525B9E" w:rsidRDefault="00525B9E" w:rsidP="00525B9E">
      <w:pPr>
        <w:pStyle w:val="Heading"/>
        <w:rPr>
          <w:rFonts w:ascii="Georgia" w:hAnsi="Georgia"/>
          <w:b w:val="0"/>
          <w:color w:val="auto"/>
          <w:sz w:val="24"/>
          <w:szCs w:val="24"/>
        </w:rPr>
      </w:pPr>
    </w:p>
    <w:p w:rsidR="00525B9E" w:rsidRPr="00DF312B" w:rsidRDefault="00525B9E" w:rsidP="00525B9E">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w:t>
      </w:r>
      <w:r w:rsidRPr="00FF0EC6">
        <w:t xml:space="preserve"> </w:t>
      </w:r>
      <w:r w:rsidRPr="00FF0EC6">
        <w:rPr>
          <w:rFonts w:ascii="Georgia" w:hAnsi="Georgia" w:cs="Arial"/>
          <w:b/>
          <w:i/>
          <w:color w:val="003366"/>
          <w:sz w:val="20"/>
          <w:szCs w:val="20"/>
        </w:rPr>
        <w:t>This paper discusses some of the areas of credit card operations that may be assessed in an effort to manage the risk of noncompliance with fair lending laws and regulations. Particular attention is focused on approaches to testing for the risk of disparate impact on a prohibited basis in credit scoring models and model-intensive prescreened marketing campaigns, as well as in judgmental credit card underwriting. The paper concludes by discussing how the fair lending risks associated with credit scoring models may be managed by synchronizing compliance oversight with an institution's model governance framework. The methods discussed in this paper are also applicable to other consumer credit products that utilize credit scoring models.</w:t>
      </w:r>
    </w:p>
    <w:p w:rsidR="00525B9E" w:rsidRDefault="00525B9E" w:rsidP="00910FE4">
      <w:pPr>
        <w:pStyle w:val="Heading"/>
        <w:rPr>
          <w:b w:val="0"/>
          <w:color w:val="auto"/>
          <w:sz w:val="24"/>
          <w:szCs w:val="24"/>
        </w:rPr>
      </w:pPr>
    </w:p>
    <w:p w:rsidR="006419F3" w:rsidRDefault="006419F3" w:rsidP="00910FE4">
      <w:pPr>
        <w:pStyle w:val="Heading"/>
        <w:rPr>
          <w:b w:val="0"/>
          <w:color w:val="auto"/>
          <w:sz w:val="24"/>
          <w:szCs w:val="24"/>
        </w:rPr>
      </w:pPr>
    </w:p>
    <w:p w:rsidR="0069736C" w:rsidRPr="00C83D41" w:rsidRDefault="0069736C" w:rsidP="0069736C">
      <w:pPr>
        <w:pStyle w:val="Heading"/>
        <w:rPr>
          <w:color w:val="002060"/>
          <w:sz w:val="24"/>
          <w:szCs w:val="24"/>
        </w:rPr>
      </w:pPr>
      <w:r>
        <w:rPr>
          <w:color w:val="002060"/>
          <w:sz w:val="24"/>
          <w:szCs w:val="24"/>
        </w:rPr>
        <w:lastRenderedPageBreak/>
        <w:t>Government Accounting Office recommends FDIC take four actions to secure information</w:t>
      </w:r>
      <w:r w:rsidRPr="00C83D41">
        <w:rPr>
          <w:color w:val="002060"/>
          <w:sz w:val="24"/>
          <w:szCs w:val="24"/>
        </w:rPr>
        <w:br/>
      </w:r>
    </w:p>
    <w:p w:rsidR="0069736C" w:rsidRDefault="0069736C" w:rsidP="0069736C">
      <w:pPr>
        <w:pStyle w:val="Heading"/>
        <w:rPr>
          <w:rFonts w:ascii="Georgia" w:hAnsi="Georgia"/>
          <w:b w:val="0"/>
          <w:color w:val="auto"/>
          <w:sz w:val="24"/>
          <w:szCs w:val="24"/>
        </w:rPr>
      </w:pPr>
      <w:r>
        <w:rPr>
          <w:rFonts w:ascii="Georgia" w:hAnsi="Georgia"/>
          <w:b w:val="0"/>
          <w:color w:val="auto"/>
          <w:sz w:val="24"/>
          <w:szCs w:val="24"/>
        </w:rPr>
        <w:t>The Government Accountability Office found that the FDIC</w:t>
      </w:r>
      <w:r w:rsidRPr="009544C5">
        <w:rPr>
          <w:rFonts w:ascii="Georgia" w:hAnsi="Georgia"/>
          <w:b w:val="0"/>
          <w:color w:val="auto"/>
          <w:sz w:val="24"/>
          <w:szCs w:val="24"/>
        </w:rPr>
        <w:t xml:space="preserve"> has implemented numerous information security controls intended to protect its key financial systems; nevertheless, weaknesses place the confidentiality, integrity, and availability of financial systems and information at unnecessary risk. During 2013, the corporation implemented 28 of the 39 open GAO recommendations pertaining to previously-reported security weaknesses that were unaddressed as of December 31, 2012. The table below details the status of previously-reported recommendations by year.</w:t>
      </w:r>
      <w:r>
        <w:rPr>
          <w:rFonts w:ascii="Georgia" w:hAnsi="Georgia"/>
          <w:b w:val="0"/>
          <w:color w:val="auto"/>
          <w:sz w:val="24"/>
          <w:szCs w:val="24"/>
        </w:rPr>
        <w:t xml:space="preserve">  </w:t>
      </w:r>
      <w:hyperlink r:id="rId64" w:history="1">
        <w:r w:rsidRPr="00D36EEC">
          <w:rPr>
            <w:rStyle w:val="Hyperlink"/>
            <w:rFonts w:ascii="Georgia" w:hAnsi="Georgia" w:cs="Arial"/>
            <w:b w:val="0"/>
            <w:sz w:val="24"/>
            <w:szCs w:val="24"/>
          </w:rPr>
          <w:t>View report</w:t>
        </w:r>
      </w:hyperlink>
      <w:r>
        <w:rPr>
          <w:rFonts w:ascii="Georgia" w:hAnsi="Georgia"/>
          <w:b w:val="0"/>
          <w:color w:val="auto"/>
          <w:sz w:val="24"/>
          <w:szCs w:val="24"/>
        </w:rPr>
        <w:t>.</w:t>
      </w:r>
      <w:r>
        <w:rPr>
          <w:rStyle w:val="EndnoteReference"/>
          <w:rFonts w:ascii="Georgia" w:hAnsi="Georgia"/>
          <w:b w:val="0"/>
          <w:color w:val="auto"/>
          <w:sz w:val="24"/>
          <w:szCs w:val="24"/>
        </w:rPr>
        <w:endnoteReference w:id="36"/>
      </w:r>
    </w:p>
    <w:p w:rsidR="0069736C" w:rsidRDefault="0069736C" w:rsidP="0069736C">
      <w:pPr>
        <w:pStyle w:val="Heading"/>
        <w:rPr>
          <w:rFonts w:ascii="Georgia" w:hAnsi="Georgia"/>
          <w:b w:val="0"/>
          <w:color w:val="auto"/>
          <w:sz w:val="24"/>
          <w:szCs w:val="24"/>
        </w:rPr>
      </w:pPr>
    </w:p>
    <w:p w:rsidR="0069736C" w:rsidRPr="00D36EEC" w:rsidRDefault="0069736C" w:rsidP="0069736C">
      <w:pPr>
        <w:pStyle w:val="Heading"/>
        <w:rPr>
          <w:rFonts w:ascii="Georgia" w:hAnsi="Georgia"/>
          <w:b w:val="0"/>
          <w:color w:val="auto"/>
          <w:sz w:val="24"/>
          <w:szCs w:val="24"/>
        </w:rPr>
      </w:pPr>
      <w:r>
        <w:rPr>
          <w:rFonts w:ascii="Georgia" w:hAnsi="Georgia"/>
          <w:b w:val="0"/>
          <w:color w:val="auto"/>
          <w:sz w:val="24"/>
          <w:szCs w:val="24"/>
        </w:rPr>
        <w:t>The GAO explained why it did this study: The FDIC</w:t>
      </w:r>
      <w:r w:rsidRPr="00D36EEC">
        <w:rPr>
          <w:rFonts w:ascii="Georgia" w:hAnsi="Georgia"/>
          <w:b w:val="0"/>
          <w:color w:val="auto"/>
          <w:sz w:val="24"/>
          <w:szCs w:val="24"/>
        </w:rPr>
        <w:t xml:space="preserve"> has a demanding responsi</w:t>
      </w:r>
      <w:r>
        <w:rPr>
          <w:rFonts w:ascii="Georgia" w:hAnsi="Georgia"/>
          <w:b w:val="0"/>
          <w:color w:val="auto"/>
          <w:sz w:val="24"/>
          <w:szCs w:val="24"/>
        </w:rPr>
        <w:t xml:space="preserve">bility enforcing banking laws, </w:t>
      </w:r>
      <w:r w:rsidRPr="00D36EEC">
        <w:rPr>
          <w:rFonts w:ascii="Georgia" w:hAnsi="Georgia"/>
          <w:b w:val="0"/>
          <w:color w:val="auto"/>
          <w:sz w:val="24"/>
          <w:szCs w:val="24"/>
        </w:rPr>
        <w:t>regulati</w:t>
      </w:r>
      <w:r>
        <w:rPr>
          <w:rFonts w:ascii="Georgia" w:hAnsi="Georgia"/>
          <w:b w:val="0"/>
          <w:color w:val="auto"/>
          <w:sz w:val="24"/>
          <w:szCs w:val="24"/>
        </w:rPr>
        <w:t xml:space="preserve">ng financial institutions, and </w:t>
      </w:r>
      <w:r w:rsidRPr="00D36EEC">
        <w:rPr>
          <w:rFonts w:ascii="Georgia" w:hAnsi="Georgia"/>
          <w:b w:val="0"/>
          <w:color w:val="auto"/>
          <w:sz w:val="24"/>
          <w:szCs w:val="24"/>
        </w:rPr>
        <w:t>protecting de</w:t>
      </w:r>
      <w:r>
        <w:rPr>
          <w:rFonts w:ascii="Georgia" w:hAnsi="Georgia"/>
          <w:b w:val="0"/>
          <w:color w:val="auto"/>
          <w:sz w:val="24"/>
          <w:szCs w:val="24"/>
        </w:rPr>
        <w:t xml:space="preserve">positors. Because of the </w:t>
      </w:r>
      <w:r w:rsidRPr="00D36EEC">
        <w:rPr>
          <w:rFonts w:ascii="Georgia" w:hAnsi="Georgia"/>
          <w:b w:val="0"/>
          <w:color w:val="auto"/>
          <w:sz w:val="24"/>
          <w:szCs w:val="24"/>
        </w:rPr>
        <w:t>import</w:t>
      </w:r>
      <w:r>
        <w:rPr>
          <w:rFonts w:ascii="Georgia" w:hAnsi="Georgia"/>
          <w:b w:val="0"/>
          <w:color w:val="auto"/>
          <w:sz w:val="24"/>
          <w:szCs w:val="24"/>
        </w:rPr>
        <w:t xml:space="preserve">ance of FDIC’s work, effective </w:t>
      </w:r>
      <w:r w:rsidRPr="00D36EEC">
        <w:rPr>
          <w:rFonts w:ascii="Georgia" w:hAnsi="Georgia"/>
          <w:b w:val="0"/>
          <w:color w:val="auto"/>
          <w:sz w:val="24"/>
          <w:szCs w:val="24"/>
        </w:rPr>
        <w:t>inf</w:t>
      </w:r>
      <w:r>
        <w:rPr>
          <w:rFonts w:ascii="Georgia" w:hAnsi="Georgia"/>
          <w:b w:val="0"/>
          <w:color w:val="auto"/>
          <w:sz w:val="24"/>
          <w:szCs w:val="24"/>
        </w:rPr>
        <w:t xml:space="preserve">ormation security controls are </w:t>
      </w:r>
      <w:r w:rsidRPr="00D36EEC">
        <w:rPr>
          <w:rFonts w:ascii="Georgia" w:hAnsi="Georgia"/>
          <w:b w:val="0"/>
          <w:color w:val="auto"/>
          <w:sz w:val="24"/>
          <w:szCs w:val="24"/>
        </w:rPr>
        <w:t xml:space="preserve">essential to ensure that the corporation’s systems and information </w:t>
      </w:r>
      <w:r>
        <w:rPr>
          <w:rFonts w:ascii="Georgia" w:hAnsi="Georgia"/>
          <w:b w:val="0"/>
          <w:color w:val="auto"/>
          <w:sz w:val="24"/>
          <w:szCs w:val="24"/>
        </w:rPr>
        <w:t xml:space="preserve">are adequately protected from </w:t>
      </w:r>
      <w:r w:rsidRPr="00D36EEC">
        <w:rPr>
          <w:rFonts w:ascii="Georgia" w:hAnsi="Georgia"/>
          <w:b w:val="0"/>
          <w:color w:val="auto"/>
          <w:sz w:val="24"/>
          <w:szCs w:val="24"/>
        </w:rPr>
        <w:t>ina</w:t>
      </w:r>
      <w:r>
        <w:rPr>
          <w:rFonts w:ascii="Georgia" w:hAnsi="Georgia"/>
          <w:b w:val="0"/>
          <w:color w:val="auto"/>
          <w:sz w:val="24"/>
          <w:szCs w:val="24"/>
        </w:rPr>
        <w:t xml:space="preserve">dvertent or deliberate misuse, </w:t>
      </w:r>
      <w:r w:rsidRPr="00D36EEC">
        <w:rPr>
          <w:rFonts w:ascii="Georgia" w:hAnsi="Georgia"/>
          <w:b w:val="0"/>
          <w:color w:val="auto"/>
          <w:sz w:val="24"/>
          <w:szCs w:val="24"/>
        </w:rPr>
        <w:t>impro</w:t>
      </w:r>
      <w:r>
        <w:rPr>
          <w:rFonts w:ascii="Georgia" w:hAnsi="Georgia"/>
          <w:b w:val="0"/>
          <w:color w:val="auto"/>
          <w:sz w:val="24"/>
          <w:szCs w:val="24"/>
        </w:rPr>
        <w:t xml:space="preserve">per modification, unauthorized </w:t>
      </w:r>
      <w:r w:rsidRPr="00D36EEC">
        <w:rPr>
          <w:rFonts w:ascii="Georgia" w:hAnsi="Georgia"/>
          <w:b w:val="0"/>
          <w:color w:val="auto"/>
          <w:sz w:val="24"/>
          <w:szCs w:val="24"/>
        </w:rPr>
        <w:t>disclosure, or destruction.</w:t>
      </w:r>
    </w:p>
    <w:p w:rsidR="0069736C" w:rsidRPr="00D36EEC" w:rsidRDefault="0069736C" w:rsidP="0069736C">
      <w:pPr>
        <w:pStyle w:val="Heading"/>
        <w:rPr>
          <w:rFonts w:ascii="Georgia" w:hAnsi="Georgia"/>
          <w:b w:val="0"/>
          <w:color w:val="auto"/>
          <w:sz w:val="24"/>
          <w:szCs w:val="24"/>
        </w:rPr>
      </w:pPr>
      <w:r w:rsidRPr="00D36EEC">
        <w:rPr>
          <w:rFonts w:ascii="Georgia" w:hAnsi="Georgia"/>
          <w:b w:val="0"/>
          <w:color w:val="auto"/>
          <w:sz w:val="24"/>
          <w:szCs w:val="24"/>
        </w:rPr>
        <w:t xml:space="preserve">As part of its audits of the 2013 financial statements of the Deposit Insurance Fund and the Federal </w:t>
      </w:r>
    </w:p>
    <w:p w:rsidR="0069736C" w:rsidRPr="00D36EEC" w:rsidRDefault="0069736C" w:rsidP="0069736C">
      <w:pPr>
        <w:pStyle w:val="Heading"/>
        <w:rPr>
          <w:rFonts w:ascii="Georgia" w:hAnsi="Georgia"/>
          <w:b w:val="0"/>
          <w:color w:val="auto"/>
          <w:sz w:val="24"/>
          <w:szCs w:val="24"/>
        </w:rPr>
      </w:pPr>
      <w:r w:rsidRPr="00D36EEC">
        <w:rPr>
          <w:rFonts w:ascii="Georgia" w:hAnsi="Georgia"/>
          <w:b w:val="0"/>
          <w:color w:val="auto"/>
          <w:sz w:val="24"/>
          <w:szCs w:val="24"/>
        </w:rPr>
        <w:t xml:space="preserve">Savings and Loan Insurance </w:t>
      </w:r>
    </w:p>
    <w:p w:rsidR="0069736C" w:rsidRDefault="0069736C" w:rsidP="0069736C">
      <w:pPr>
        <w:pStyle w:val="Heading"/>
        <w:rPr>
          <w:rFonts w:ascii="Georgia" w:hAnsi="Georgia"/>
          <w:b w:val="0"/>
          <w:color w:val="auto"/>
          <w:sz w:val="24"/>
          <w:szCs w:val="24"/>
        </w:rPr>
      </w:pPr>
      <w:r>
        <w:rPr>
          <w:rFonts w:ascii="Georgia" w:hAnsi="Georgia"/>
          <w:b w:val="0"/>
          <w:color w:val="auto"/>
          <w:sz w:val="24"/>
          <w:szCs w:val="24"/>
        </w:rPr>
        <w:t xml:space="preserve">Corporation Resolution Fund </w:t>
      </w:r>
      <w:r w:rsidRPr="00D36EEC">
        <w:rPr>
          <w:rFonts w:ascii="Georgia" w:hAnsi="Georgia"/>
          <w:b w:val="0"/>
          <w:color w:val="auto"/>
          <w:sz w:val="24"/>
          <w:szCs w:val="24"/>
        </w:rPr>
        <w:t>administered by FDIC, GAO assessed the effe</w:t>
      </w:r>
      <w:r>
        <w:rPr>
          <w:rFonts w:ascii="Georgia" w:hAnsi="Georgia"/>
          <w:b w:val="0"/>
          <w:color w:val="auto"/>
          <w:sz w:val="24"/>
          <w:szCs w:val="24"/>
        </w:rPr>
        <w:t xml:space="preserve">ctiveness of the corporation’s </w:t>
      </w:r>
      <w:r w:rsidRPr="00D36EEC">
        <w:rPr>
          <w:rFonts w:ascii="Georgia" w:hAnsi="Georgia"/>
          <w:b w:val="0"/>
          <w:color w:val="auto"/>
          <w:sz w:val="24"/>
          <w:szCs w:val="24"/>
        </w:rPr>
        <w:t xml:space="preserve">controls in protecting the confidentiality, integrity, and availability </w:t>
      </w:r>
      <w:r>
        <w:rPr>
          <w:rFonts w:ascii="Georgia" w:hAnsi="Georgia"/>
          <w:b w:val="0"/>
          <w:color w:val="auto"/>
          <w:sz w:val="24"/>
          <w:szCs w:val="24"/>
        </w:rPr>
        <w:t xml:space="preserve">of its financial systems and </w:t>
      </w:r>
      <w:r w:rsidRPr="00D36EEC">
        <w:rPr>
          <w:rFonts w:ascii="Georgia" w:hAnsi="Georgia"/>
          <w:b w:val="0"/>
          <w:color w:val="auto"/>
          <w:sz w:val="24"/>
          <w:szCs w:val="24"/>
        </w:rPr>
        <w:t>infor</w:t>
      </w:r>
      <w:r>
        <w:rPr>
          <w:rFonts w:ascii="Georgia" w:hAnsi="Georgia"/>
          <w:b w:val="0"/>
          <w:color w:val="auto"/>
          <w:sz w:val="24"/>
          <w:szCs w:val="24"/>
        </w:rPr>
        <w:t xml:space="preserve">mation. To do so, GAO examined </w:t>
      </w:r>
      <w:r w:rsidRPr="00D36EEC">
        <w:rPr>
          <w:rFonts w:ascii="Georgia" w:hAnsi="Georgia"/>
          <w:b w:val="0"/>
          <w:color w:val="auto"/>
          <w:sz w:val="24"/>
          <w:szCs w:val="24"/>
        </w:rPr>
        <w:t xml:space="preserve">security </w:t>
      </w:r>
      <w:r>
        <w:rPr>
          <w:rFonts w:ascii="Georgia" w:hAnsi="Georgia"/>
          <w:b w:val="0"/>
          <w:color w:val="auto"/>
          <w:sz w:val="24"/>
          <w:szCs w:val="24"/>
        </w:rPr>
        <w:t xml:space="preserve">policies, procedures, reports, </w:t>
      </w:r>
      <w:r w:rsidRPr="00D36EEC">
        <w:rPr>
          <w:rFonts w:ascii="Georgia" w:hAnsi="Georgia"/>
          <w:b w:val="0"/>
          <w:color w:val="auto"/>
          <w:sz w:val="24"/>
          <w:szCs w:val="24"/>
        </w:rPr>
        <w:t xml:space="preserve">and other documents; tested </w:t>
      </w:r>
      <w:r>
        <w:rPr>
          <w:rFonts w:ascii="Georgia" w:hAnsi="Georgia"/>
          <w:b w:val="0"/>
          <w:color w:val="auto"/>
          <w:sz w:val="24"/>
          <w:szCs w:val="24"/>
        </w:rPr>
        <w:t xml:space="preserve">controls </w:t>
      </w:r>
      <w:r w:rsidRPr="00D36EEC">
        <w:rPr>
          <w:rFonts w:ascii="Georgia" w:hAnsi="Georgia"/>
          <w:b w:val="0"/>
          <w:color w:val="auto"/>
          <w:sz w:val="24"/>
          <w:szCs w:val="24"/>
        </w:rPr>
        <w:t>over k</w:t>
      </w:r>
      <w:r>
        <w:rPr>
          <w:rFonts w:ascii="Georgia" w:hAnsi="Georgia"/>
          <w:b w:val="0"/>
          <w:color w:val="auto"/>
          <w:sz w:val="24"/>
          <w:szCs w:val="24"/>
        </w:rPr>
        <w:t xml:space="preserve">ey financial applications; and </w:t>
      </w:r>
      <w:r w:rsidRPr="00D36EEC">
        <w:rPr>
          <w:rFonts w:ascii="Georgia" w:hAnsi="Georgia"/>
          <w:b w:val="0"/>
          <w:color w:val="auto"/>
          <w:sz w:val="24"/>
          <w:szCs w:val="24"/>
        </w:rPr>
        <w:t xml:space="preserve">interviewed FDIC personnel. </w:t>
      </w:r>
    </w:p>
    <w:p w:rsidR="0069736C" w:rsidRDefault="0069736C" w:rsidP="0069736C">
      <w:pPr>
        <w:pStyle w:val="Heading"/>
        <w:rPr>
          <w:rFonts w:ascii="Georgia" w:hAnsi="Georgia"/>
          <w:b w:val="0"/>
          <w:color w:val="auto"/>
          <w:sz w:val="24"/>
          <w:szCs w:val="24"/>
        </w:rPr>
      </w:pPr>
    </w:p>
    <w:p w:rsidR="0069736C" w:rsidRDefault="0069736C" w:rsidP="0069736C">
      <w:pPr>
        <w:pStyle w:val="Heading"/>
        <w:rPr>
          <w:rFonts w:ascii="Georgia" w:hAnsi="Georgia"/>
          <w:b w:val="0"/>
          <w:color w:val="auto"/>
          <w:sz w:val="24"/>
          <w:szCs w:val="24"/>
        </w:rPr>
      </w:pPr>
      <w:r w:rsidRPr="00D36EEC">
        <w:rPr>
          <w:rFonts w:ascii="Georgia" w:hAnsi="Georgia"/>
          <w:b w:val="0"/>
          <w:color w:val="auto"/>
          <w:sz w:val="24"/>
          <w:szCs w:val="24"/>
        </w:rPr>
        <w:t>GAO is recommending four actions for F</w:t>
      </w:r>
      <w:r>
        <w:rPr>
          <w:rFonts w:ascii="Georgia" w:hAnsi="Georgia"/>
          <w:b w:val="0"/>
          <w:color w:val="auto"/>
          <w:sz w:val="24"/>
          <w:szCs w:val="24"/>
        </w:rPr>
        <w:t xml:space="preserve">DIC to enhance its information </w:t>
      </w:r>
      <w:r w:rsidRPr="00D36EEC">
        <w:rPr>
          <w:rFonts w:ascii="Georgia" w:hAnsi="Georgia"/>
          <w:b w:val="0"/>
          <w:color w:val="auto"/>
          <w:sz w:val="24"/>
          <w:szCs w:val="24"/>
        </w:rPr>
        <w:t>sec</w:t>
      </w:r>
      <w:r>
        <w:rPr>
          <w:rFonts w:ascii="Georgia" w:hAnsi="Georgia"/>
          <w:b w:val="0"/>
          <w:color w:val="auto"/>
          <w:sz w:val="24"/>
          <w:szCs w:val="24"/>
        </w:rPr>
        <w:t xml:space="preserve">urity management program. FDIC </w:t>
      </w:r>
      <w:r w:rsidRPr="00D36EEC">
        <w:rPr>
          <w:rFonts w:ascii="Georgia" w:hAnsi="Georgia"/>
          <w:b w:val="0"/>
          <w:color w:val="auto"/>
          <w:sz w:val="24"/>
          <w:szCs w:val="24"/>
        </w:rPr>
        <w:t>concurred with GAO’s recommendations. In a separate report wit</w:t>
      </w:r>
      <w:r>
        <w:rPr>
          <w:rFonts w:ascii="Georgia" w:hAnsi="Georgia"/>
          <w:b w:val="0"/>
          <w:color w:val="auto"/>
          <w:sz w:val="24"/>
          <w:szCs w:val="24"/>
        </w:rPr>
        <w:t xml:space="preserve">h limited distribution, GAO is recommending that FDIC take 21 </w:t>
      </w:r>
      <w:r w:rsidRPr="00D36EEC">
        <w:rPr>
          <w:rFonts w:ascii="Georgia" w:hAnsi="Georgia"/>
          <w:b w:val="0"/>
          <w:color w:val="auto"/>
          <w:sz w:val="24"/>
          <w:szCs w:val="24"/>
        </w:rPr>
        <w:t>specific actions to address weaknesses in security controls</w:t>
      </w:r>
      <w:r w:rsidR="00FD43A6">
        <w:rPr>
          <w:rFonts w:ascii="Georgia" w:hAnsi="Georgia"/>
          <w:b w:val="0"/>
          <w:color w:val="auto"/>
          <w:sz w:val="24"/>
          <w:szCs w:val="24"/>
        </w:rPr>
        <w:t>.</w:t>
      </w:r>
    </w:p>
    <w:p w:rsidR="00FD43A6" w:rsidRDefault="00FD43A6" w:rsidP="0069736C">
      <w:pPr>
        <w:pStyle w:val="Heading"/>
        <w:rPr>
          <w:rFonts w:ascii="Georgia" w:hAnsi="Georgia"/>
          <w:b w:val="0"/>
          <w:color w:val="auto"/>
          <w:sz w:val="24"/>
          <w:szCs w:val="24"/>
        </w:rPr>
      </w:pPr>
    </w:p>
    <w:p w:rsidR="00FD43A6" w:rsidRDefault="00FD43A6" w:rsidP="0069736C">
      <w:pPr>
        <w:pStyle w:val="Heading"/>
        <w:rPr>
          <w:rFonts w:ascii="Georgia" w:hAnsi="Georgia"/>
          <w:b w:val="0"/>
          <w:color w:val="auto"/>
          <w:sz w:val="24"/>
          <w:szCs w:val="24"/>
        </w:rPr>
      </w:pPr>
    </w:p>
    <w:p w:rsidR="00525B9E" w:rsidRDefault="00525B9E" w:rsidP="00525B9E">
      <w:pPr>
        <w:pStyle w:val="Heading"/>
        <w:rPr>
          <w:color w:val="002060"/>
          <w:sz w:val="24"/>
          <w:szCs w:val="24"/>
        </w:rPr>
      </w:pPr>
      <w:r>
        <w:rPr>
          <w:color w:val="002060"/>
          <w:sz w:val="24"/>
          <w:szCs w:val="24"/>
        </w:rPr>
        <w:t>GAO report on CFPB's Civil Penalty Fund</w:t>
      </w:r>
      <w:r w:rsidRPr="00C83D41">
        <w:rPr>
          <w:color w:val="002060"/>
          <w:sz w:val="24"/>
          <w:szCs w:val="24"/>
        </w:rPr>
        <w:br/>
      </w:r>
    </w:p>
    <w:p w:rsidR="00525B9E" w:rsidRDefault="00525B9E" w:rsidP="00525B9E">
      <w:pPr>
        <w:pStyle w:val="Heading"/>
        <w:rPr>
          <w:rFonts w:ascii="Georgia" w:hAnsi="Georgia"/>
          <w:b w:val="0"/>
          <w:color w:val="auto"/>
          <w:sz w:val="24"/>
          <w:szCs w:val="24"/>
        </w:rPr>
      </w:pPr>
      <w:r>
        <w:rPr>
          <w:rFonts w:ascii="Georgia" w:hAnsi="Georgia"/>
          <w:b w:val="0"/>
          <w:color w:val="auto"/>
          <w:sz w:val="24"/>
          <w:szCs w:val="24"/>
        </w:rPr>
        <w:t xml:space="preserve">The </w:t>
      </w:r>
      <w:r w:rsidRPr="000657FD">
        <w:rPr>
          <w:rFonts w:ascii="Georgia" w:hAnsi="Georgia"/>
          <w:b w:val="0"/>
          <w:color w:val="auto"/>
          <w:sz w:val="24"/>
          <w:szCs w:val="24"/>
        </w:rPr>
        <w:t>G</w:t>
      </w:r>
      <w:r>
        <w:rPr>
          <w:rFonts w:ascii="Georgia" w:hAnsi="Georgia"/>
          <w:b w:val="0"/>
          <w:color w:val="auto"/>
          <w:sz w:val="24"/>
          <w:szCs w:val="24"/>
        </w:rPr>
        <w:t xml:space="preserve">overnment </w:t>
      </w:r>
      <w:r w:rsidRPr="000657FD">
        <w:rPr>
          <w:rFonts w:ascii="Georgia" w:hAnsi="Georgia"/>
          <w:b w:val="0"/>
          <w:color w:val="auto"/>
          <w:sz w:val="24"/>
          <w:szCs w:val="24"/>
        </w:rPr>
        <w:t>A</w:t>
      </w:r>
      <w:r>
        <w:rPr>
          <w:rFonts w:ascii="Georgia" w:hAnsi="Georgia"/>
          <w:b w:val="0"/>
          <w:color w:val="auto"/>
          <w:sz w:val="24"/>
          <w:szCs w:val="24"/>
        </w:rPr>
        <w:t xml:space="preserve">ccountability </w:t>
      </w:r>
      <w:r w:rsidRPr="000657FD">
        <w:rPr>
          <w:rFonts w:ascii="Georgia" w:hAnsi="Georgia"/>
          <w:b w:val="0"/>
          <w:color w:val="auto"/>
          <w:sz w:val="24"/>
          <w:szCs w:val="24"/>
        </w:rPr>
        <w:t>O</w:t>
      </w:r>
      <w:r>
        <w:rPr>
          <w:rFonts w:ascii="Georgia" w:hAnsi="Georgia"/>
          <w:b w:val="0"/>
          <w:color w:val="auto"/>
          <w:sz w:val="24"/>
          <w:szCs w:val="24"/>
        </w:rPr>
        <w:t>ffice</w:t>
      </w:r>
      <w:r w:rsidRPr="000657FD">
        <w:rPr>
          <w:rFonts w:ascii="Georgia" w:hAnsi="Georgia"/>
          <w:b w:val="0"/>
          <w:color w:val="auto"/>
          <w:sz w:val="24"/>
          <w:szCs w:val="24"/>
        </w:rPr>
        <w:t xml:space="preserve"> was asked to review</w:t>
      </w:r>
      <w:r>
        <w:rPr>
          <w:rFonts w:ascii="Georgia" w:hAnsi="Georgia"/>
          <w:b w:val="0"/>
          <w:color w:val="auto"/>
          <w:sz w:val="24"/>
          <w:szCs w:val="24"/>
        </w:rPr>
        <w:t xml:space="preserve"> CFPB's Civil Penalty Fund and issue a  </w:t>
      </w:r>
      <w:hyperlink r:id="rId65" w:history="1">
        <w:r w:rsidRPr="000657FD">
          <w:rPr>
            <w:rStyle w:val="Hyperlink"/>
            <w:rFonts w:ascii="Georgia" w:hAnsi="Georgia" w:cs="Arial"/>
            <w:b w:val="0"/>
            <w:sz w:val="24"/>
            <w:szCs w:val="24"/>
          </w:rPr>
          <w:t>report</w:t>
        </w:r>
      </w:hyperlink>
      <w:r>
        <w:rPr>
          <w:rStyle w:val="EndnoteReference"/>
          <w:rFonts w:ascii="Georgia" w:hAnsi="Georgia"/>
          <w:b w:val="0"/>
          <w:color w:val="auto"/>
          <w:sz w:val="24"/>
          <w:szCs w:val="24"/>
        </w:rPr>
        <w:endnoteReference w:id="37"/>
      </w:r>
      <w:r>
        <w:rPr>
          <w:rFonts w:ascii="Georgia" w:hAnsi="Georgia"/>
          <w:b w:val="0"/>
          <w:color w:val="auto"/>
          <w:sz w:val="24"/>
          <w:szCs w:val="24"/>
        </w:rPr>
        <w:t xml:space="preserve"> examining</w:t>
      </w:r>
      <w:r w:rsidRPr="000657FD">
        <w:rPr>
          <w:rFonts w:ascii="Georgia" w:hAnsi="Georgia"/>
          <w:b w:val="0"/>
          <w:color w:val="auto"/>
          <w:sz w:val="24"/>
          <w:szCs w:val="24"/>
        </w:rPr>
        <w:t xml:space="preserve"> how CFPB's Civil Penalty Fund (1) is administered and what controls are in place to guide the management of the fund and (2) compares to other civil money penalty funds and activities administered by other federal agencies.</w:t>
      </w:r>
    </w:p>
    <w:p w:rsidR="00525B9E" w:rsidRPr="000657FD" w:rsidRDefault="00525B9E" w:rsidP="00525B9E">
      <w:pPr>
        <w:pStyle w:val="Heading"/>
        <w:rPr>
          <w:rFonts w:ascii="Georgia" w:hAnsi="Georgia"/>
          <w:b w:val="0"/>
          <w:color w:val="auto"/>
          <w:sz w:val="24"/>
          <w:szCs w:val="24"/>
        </w:rPr>
      </w:pPr>
    </w:p>
    <w:p w:rsidR="00525B9E" w:rsidRDefault="00525B9E" w:rsidP="00525B9E">
      <w:pPr>
        <w:pStyle w:val="Heading"/>
        <w:rPr>
          <w:color w:val="auto"/>
          <w:sz w:val="24"/>
          <w:szCs w:val="24"/>
        </w:rPr>
      </w:pPr>
      <w:r w:rsidRPr="000657FD">
        <w:rPr>
          <w:rFonts w:ascii="Georgia" w:hAnsi="Georgia"/>
          <w:b w:val="0"/>
          <w:color w:val="auto"/>
          <w:sz w:val="24"/>
          <w:szCs w:val="24"/>
        </w:rPr>
        <w:t>GAO recommends that the Fund Administrator document the specific factors considered in determining the amount of funding, if any, allocated to consumer education and financial literacy programs. CFPB generally agreed with GAO's recommendation.</w:t>
      </w:r>
    </w:p>
    <w:p w:rsidR="00525B9E" w:rsidRDefault="00525B9E" w:rsidP="00525B9E">
      <w:pPr>
        <w:pStyle w:val="Heading"/>
        <w:rPr>
          <w:rFonts w:ascii="Georgia" w:hAnsi="Georgia"/>
          <w:i/>
          <w:color w:val="003366"/>
          <w:sz w:val="20"/>
          <w:szCs w:val="20"/>
        </w:rPr>
      </w:pPr>
    </w:p>
    <w:p w:rsidR="00EA036A" w:rsidRPr="00EE562B" w:rsidRDefault="00EA036A" w:rsidP="00EA036A">
      <w:pPr>
        <w:pStyle w:val="Heading"/>
        <w:rPr>
          <w:rFonts w:ascii="Georgia" w:hAnsi="Georgia"/>
          <w:b w:val="0"/>
          <w:color w:val="auto"/>
          <w:sz w:val="24"/>
          <w:szCs w:val="24"/>
        </w:rPr>
      </w:pPr>
    </w:p>
    <w:p w:rsidR="00EA036A" w:rsidRPr="00C83D41" w:rsidRDefault="00DC26C7" w:rsidP="00EA036A">
      <w:pPr>
        <w:pStyle w:val="Heading"/>
        <w:rPr>
          <w:color w:val="002060"/>
          <w:sz w:val="24"/>
          <w:szCs w:val="24"/>
        </w:rPr>
      </w:pPr>
      <w:r>
        <w:rPr>
          <w:color w:val="002060"/>
          <w:sz w:val="24"/>
          <w:szCs w:val="24"/>
        </w:rPr>
        <w:lastRenderedPageBreak/>
        <w:t>Inspector General</w:t>
      </w:r>
      <w:r w:rsidR="00CE56BE">
        <w:rPr>
          <w:color w:val="002060"/>
          <w:sz w:val="24"/>
          <w:szCs w:val="24"/>
        </w:rPr>
        <w:t xml:space="preserve"> report concerning enforcement actions and professional liability claims</w:t>
      </w:r>
      <w:r w:rsidR="00EA036A" w:rsidRPr="00C83D41">
        <w:rPr>
          <w:color w:val="002060"/>
          <w:sz w:val="24"/>
          <w:szCs w:val="24"/>
        </w:rPr>
        <w:br/>
      </w:r>
    </w:p>
    <w:p w:rsidR="00EA036A" w:rsidRDefault="00DC26C7" w:rsidP="00DC26C7">
      <w:pPr>
        <w:pStyle w:val="Heading"/>
        <w:rPr>
          <w:rFonts w:ascii="Georgia" w:hAnsi="Georgia"/>
          <w:b w:val="0"/>
          <w:color w:val="auto"/>
          <w:sz w:val="24"/>
          <w:szCs w:val="24"/>
        </w:rPr>
      </w:pPr>
      <w:r>
        <w:rPr>
          <w:rFonts w:ascii="Georgia" w:hAnsi="Georgia"/>
          <w:b w:val="0"/>
          <w:color w:val="auto"/>
          <w:sz w:val="24"/>
          <w:szCs w:val="24"/>
        </w:rPr>
        <w:t>T</w:t>
      </w:r>
      <w:r w:rsidRPr="00DC26C7">
        <w:rPr>
          <w:rFonts w:ascii="Georgia" w:hAnsi="Georgia"/>
          <w:b w:val="0"/>
          <w:color w:val="auto"/>
          <w:sz w:val="24"/>
          <w:szCs w:val="24"/>
        </w:rPr>
        <w:t>he Offices of Inspector General (OIG) recently completed</w:t>
      </w:r>
      <w:r>
        <w:rPr>
          <w:rFonts w:ascii="Georgia" w:hAnsi="Georgia"/>
          <w:b w:val="0"/>
          <w:color w:val="auto"/>
          <w:sz w:val="24"/>
          <w:szCs w:val="24"/>
        </w:rPr>
        <w:t xml:space="preserve"> an </w:t>
      </w:r>
      <w:hyperlink r:id="rId66" w:history="1">
        <w:r w:rsidRPr="00DC26C7">
          <w:rPr>
            <w:rStyle w:val="Hyperlink"/>
            <w:rFonts w:ascii="Georgia" w:hAnsi="Georgia" w:cs="Arial"/>
            <w:b w:val="0"/>
            <w:sz w:val="24"/>
            <w:szCs w:val="24"/>
          </w:rPr>
          <w:t>evaluation report</w:t>
        </w:r>
      </w:hyperlink>
      <w:r>
        <w:rPr>
          <w:rStyle w:val="EndnoteReference"/>
          <w:rFonts w:ascii="Georgia" w:hAnsi="Georgia"/>
          <w:b w:val="0"/>
          <w:color w:val="auto"/>
          <w:sz w:val="24"/>
          <w:szCs w:val="24"/>
        </w:rPr>
        <w:endnoteReference w:id="38"/>
      </w:r>
      <w:r w:rsidRPr="00DC26C7">
        <w:rPr>
          <w:rFonts w:ascii="Georgia" w:hAnsi="Georgia"/>
          <w:b w:val="0"/>
          <w:color w:val="auto"/>
          <w:sz w:val="24"/>
          <w:szCs w:val="24"/>
        </w:rPr>
        <w:t xml:space="preserve"> concerning actions that the banking regulators (the FDIC; Federal Reserve</w:t>
      </w:r>
      <w:r>
        <w:rPr>
          <w:rFonts w:ascii="Georgia" w:hAnsi="Georgia"/>
          <w:b w:val="0"/>
          <w:color w:val="auto"/>
          <w:sz w:val="24"/>
          <w:szCs w:val="24"/>
        </w:rPr>
        <w:t xml:space="preserve">; and </w:t>
      </w:r>
      <w:r w:rsidR="0044599B">
        <w:rPr>
          <w:rFonts w:ascii="Georgia" w:hAnsi="Georgia"/>
          <w:b w:val="0"/>
          <w:color w:val="auto"/>
          <w:sz w:val="24"/>
          <w:szCs w:val="24"/>
        </w:rPr>
        <w:t xml:space="preserve">the </w:t>
      </w:r>
      <w:r w:rsidRPr="00DC26C7">
        <w:rPr>
          <w:rFonts w:ascii="Georgia" w:hAnsi="Georgia"/>
          <w:b w:val="0"/>
          <w:color w:val="auto"/>
          <w:sz w:val="24"/>
          <w:szCs w:val="24"/>
        </w:rPr>
        <w:t>OCC) took against individuals and entities in response to actions that harmed financial institutions.</w:t>
      </w:r>
    </w:p>
    <w:p w:rsidR="00DC26C7" w:rsidRDefault="00DC26C7" w:rsidP="00DC26C7">
      <w:pPr>
        <w:pStyle w:val="Heading"/>
        <w:rPr>
          <w:rFonts w:ascii="Georgia" w:hAnsi="Georgia"/>
          <w:b w:val="0"/>
          <w:color w:val="auto"/>
          <w:sz w:val="24"/>
          <w:szCs w:val="24"/>
        </w:rPr>
      </w:pPr>
    </w:p>
    <w:p w:rsidR="00DC26C7" w:rsidRDefault="00DC26C7" w:rsidP="00DC26C7">
      <w:pPr>
        <w:pStyle w:val="Heading"/>
        <w:rPr>
          <w:rFonts w:ascii="Georgia" w:hAnsi="Georgia"/>
          <w:b w:val="0"/>
          <w:color w:val="auto"/>
          <w:sz w:val="24"/>
          <w:szCs w:val="24"/>
        </w:rPr>
      </w:pPr>
      <w:r>
        <w:rPr>
          <w:rFonts w:ascii="Georgia" w:hAnsi="Georgia"/>
          <w:b w:val="0"/>
          <w:color w:val="auto"/>
          <w:sz w:val="24"/>
          <w:szCs w:val="24"/>
        </w:rPr>
        <w:t>T</w:t>
      </w:r>
      <w:r w:rsidRPr="00DC26C7">
        <w:rPr>
          <w:rFonts w:ascii="Georgia" w:hAnsi="Georgia"/>
          <w:b w:val="0"/>
          <w:color w:val="auto"/>
          <w:sz w:val="24"/>
          <w:szCs w:val="24"/>
        </w:rPr>
        <w:t>he Regulators have established formal processes for investigating and imposing E</w:t>
      </w:r>
      <w:r w:rsidR="0044599B">
        <w:rPr>
          <w:rFonts w:ascii="Georgia" w:hAnsi="Georgia"/>
          <w:b w:val="0"/>
          <w:color w:val="auto"/>
          <w:sz w:val="24"/>
          <w:szCs w:val="24"/>
        </w:rPr>
        <w:t xml:space="preserve">nforcement </w:t>
      </w:r>
      <w:r w:rsidRPr="00DC26C7">
        <w:rPr>
          <w:rFonts w:ascii="Georgia" w:hAnsi="Georgia"/>
          <w:b w:val="0"/>
          <w:color w:val="auto"/>
          <w:sz w:val="24"/>
          <w:szCs w:val="24"/>
        </w:rPr>
        <w:t>A</w:t>
      </w:r>
      <w:r w:rsidR="0044599B">
        <w:rPr>
          <w:rFonts w:ascii="Georgia" w:hAnsi="Georgia"/>
          <w:b w:val="0"/>
          <w:color w:val="auto"/>
          <w:sz w:val="24"/>
          <w:szCs w:val="24"/>
        </w:rPr>
        <w:t>ction</w:t>
      </w:r>
      <w:r w:rsidRPr="00DC26C7">
        <w:rPr>
          <w:rFonts w:ascii="Georgia" w:hAnsi="Georgia"/>
          <w:b w:val="0"/>
          <w:color w:val="auto"/>
          <w:sz w:val="24"/>
          <w:szCs w:val="24"/>
        </w:rPr>
        <w:t>s</w:t>
      </w:r>
      <w:r w:rsidR="0044599B">
        <w:rPr>
          <w:rFonts w:ascii="Georgia" w:hAnsi="Georgia"/>
          <w:b w:val="0"/>
          <w:color w:val="auto"/>
          <w:sz w:val="24"/>
          <w:szCs w:val="24"/>
        </w:rPr>
        <w:t xml:space="preserve"> (EAs)</w:t>
      </w:r>
      <w:r w:rsidRPr="00DC26C7">
        <w:rPr>
          <w:rFonts w:ascii="Georgia" w:hAnsi="Georgia"/>
          <w:b w:val="0"/>
          <w:color w:val="auto"/>
          <w:sz w:val="24"/>
          <w:szCs w:val="24"/>
        </w:rPr>
        <w:t xml:space="preserve"> on I</w:t>
      </w:r>
      <w:r w:rsidR="0044599B">
        <w:rPr>
          <w:rFonts w:ascii="Georgia" w:hAnsi="Georgia"/>
          <w:b w:val="0"/>
          <w:color w:val="auto"/>
          <w:sz w:val="24"/>
          <w:szCs w:val="24"/>
        </w:rPr>
        <w:t>nstitution-</w:t>
      </w:r>
      <w:r w:rsidRPr="00DC26C7">
        <w:rPr>
          <w:rFonts w:ascii="Georgia" w:hAnsi="Georgia"/>
          <w:b w:val="0"/>
          <w:color w:val="auto"/>
          <w:sz w:val="24"/>
          <w:szCs w:val="24"/>
        </w:rPr>
        <w:t>A</w:t>
      </w:r>
      <w:r w:rsidR="0044599B">
        <w:rPr>
          <w:rFonts w:ascii="Georgia" w:hAnsi="Georgia"/>
          <w:b w:val="0"/>
          <w:color w:val="auto"/>
          <w:sz w:val="24"/>
          <w:szCs w:val="24"/>
        </w:rPr>
        <w:t xml:space="preserve">ffiliated </w:t>
      </w:r>
      <w:r w:rsidRPr="00DC26C7">
        <w:rPr>
          <w:rFonts w:ascii="Georgia" w:hAnsi="Georgia"/>
          <w:b w:val="0"/>
          <w:color w:val="auto"/>
          <w:sz w:val="24"/>
          <w:szCs w:val="24"/>
        </w:rPr>
        <w:t>P</w:t>
      </w:r>
      <w:r w:rsidR="0044599B">
        <w:rPr>
          <w:rFonts w:ascii="Georgia" w:hAnsi="Georgia"/>
          <w:b w:val="0"/>
          <w:color w:val="auto"/>
          <w:sz w:val="24"/>
          <w:szCs w:val="24"/>
        </w:rPr>
        <w:t>artie</w:t>
      </w:r>
      <w:r w:rsidRPr="00DC26C7">
        <w:rPr>
          <w:rFonts w:ascii="Georgia" w:hAnsi="Georgia"/>
          <w:b w:val="0"/>
          <w:color w:val="auto"/>
          <w:sz w:val="24"/>
          <w:szCs w:val="24"/>
        </w:rPr>
        <w:t>s</w:t>
      </w:r>
      <w:r w:rsidR="0044599B">
        <w:rPr>
          <w:rFonts w:ascii="Georgia" w:hAnsi="Georgia"/>
          <w:b w:val="0"/>
          <w:color w:val="auto"/>
          <w:sz w:val="24"/>
          <w:szCs w:val="24"/>
        </w:rPr>
        <w:t xml:space="preserve"> (IAPs)</w:t>
      </w:r>
      <w:r w:rsidRPr="00DC26C7">
        <w:rPr>
          <w:rFonts w:ascii="Georgia" w:hAnsi="Georgia"/>
          <w:b w:val="0"/>
          <w:color w:val="auto"/>
          <w:sz w:val="24"/>
          <w:szCs w:val="24"/>
        </w:rPr>
        <w:t xml:space="preserve"> whose actions harmed institutions, and the FDIC has done the same for investigating and pursuing P</w:t>
      </w:r>
      <w:r w:rsidR="0044599B">
        <w:rPr>
          <w:rFonts w:ascii="Georgia" w:hAnsi="Georgia"/>
          <w:b w:val="0"/>
          <w:color w:val="auto"/>
          <w:sz w:val="24"/>
          <w:szCs w:val="24"/>
        </w:rPr>
        <w:t xml:space="preserve">rofessional </w:t>
      </w:r>
      <w:r w:rsidRPr="00DC26C7">
        <w:rPr>
          <w:rFonts w:ascii="Georgia" w:hAnsi="Georgia"/>
          <w:b w:val="0"/>
          <w:color w:val="auto"/>
          <w:sz w:val="24"/>
          <w:szCs w:val="24"/>
        </w:rPr>
        <w:t>L</w:t>
      </w:r>
      <w:r w:rsidR="0044599B">
        <w:rPr>
          <w:rFonts w:ascii="Georgia" w:hAnsi="Georgia"/>
          <w:b w:val="0"/>
          <w:color w:val="auto"/>
          <w:sz w:val="24"/>
          <w:szCs w:val="24"/>
        </w:rPr>
        <w:t xml:space="preserve">iability </w:t>
      </w:r>
      <w:r w:rsidRPr="00DC26C7">
        <w:rPr>
          <w:rFonts w:ascii="Georgia" w:hAnsi="Georgia"/>
          <w:b w:val="0"/>
          <w:color w:val="auto"/>
          <w:sz w:val="24"/>
          <w:szCs w:val="24"/>
        </w:rPr>
        <w:t>C</w:t>
      </w:r>
      <w:r w:rsidR="0044599B">
        <w:rPr>
          <w:rFonts w:ascii="Georgia" w:hAnsi="Georgia"/>
          <w:b w:val="0"/>
          <w:color w:val="auto"/>
          <w:sz w:val="24"/>
          <w:szCs w:val="24"/>
        </w:rPr>
        <w:t>laim</w:t>
      </w:r>
      <w:r w:rsidRPr="00DC26C7">
        <w:rPr>
          <w:rFonts w:ascii="Georgia" w:hAnsi="Georgia"/>
          <w:b w:val="0"/>
          <w:color w:val="auto"/>
          <w:sz w:val="24"/>
          <w:szCs w:val="24"/>
        </w:rPr>
        <w:t>s</w:t>
      </w:r>
      <w:r w:rsidR="0044599B">
        <w:rPr>
          <w:rFonts w:ascii="Georgia" w:hAnsi="Georgia"/>
          <w:b w:val="0"/>
          <w:color w:val="auto"/>
          <w:sz w:val="24"/>
          <w:szCs w:val="24"/>
        </w:rPr>
        <w:t xml:space="preserve"> (PLCs)</w:t>
      </w:r>
      <w:r w:rsidRPr="00DC26C7">
        <w:rPr>
          <w:rFonts w:ascii="Georgia" w:hAnsi="Georgia"/>
          <w:b w:val="0"/>
          <w:color w:val="auto"/>
          <w:sz w:val="24"/>
          <w:szCs w:val="24"/>
        </w:rPr>
        <w:t xml:space="preserve">. During the 5-year period from 2008-2012, 465 institutions failed. As of September 30, 2013, the Regulators had issued 275 EAs against individuals associated with 87 of those failed institutions, and the FDIC had completed 430 PLCs and had an additional 305 pending a final result—many pertaining to directors and officers—based on litigation or negotiation. </w:t>
      </w:r>
    </w:p>
    <w:p w:rsidR="00DC26C7" w:rsidRPr="00DC26C7" w:rsidRDefault="00DC26C7" w:rsidP="00DC26C7">
      <w:pPr>
        <w:pStyle w:val="Heading"/>
        <w:rPr>
          <w:rFonts w:ascii="Georgia" w:hAnsi="Georgia"/>
          <w:b w:val="0"/>
          <w:color w:val="auto"/>
          <w:sz w:val="24"/>
          <w:szCs w:val="24"/>
        </w:rPr>
      </w:pPr>
    </w:p>
    <w:p w:rsidR="00DC26C7" w:rsidRPr="00DC26C7" w:rsidRDefault="00DC26C7" w:rsidP="00DC26C7">
      <w:pPr>
        <w:pStyle w:val="Heading"/>
        <w:rPr>
          <w:rFonts w:ascii="Georgia" w:hAnsi="Georgia"/>
          <w:b w:val="0"/>
          <w:color w:val="auto"/>
          <w:sz w:val="24"/>
          <w:szCs w:val="24"/>
        </w:rPr>
      </w:pPr>
      <w:r w:rsidRPr="00DC26C7">
        <w:rPr>
          <w:rFonts w:ascii="Georgia" w:hAnsi="Georgia"/>
          <w:b w:val="0"/>
          <w:color w:val="auto"/>
          <w:sz w:val="24"/>
          <w:szCs w:val="24"/>
        </w:rPr>
        <w:t xml:space="preserve">The report contains seven recommendations intended to strengthen the FDIC, FRB, and OCC’s programs for pursuing EAs and the FDIC’s program for pursuing PLCs and to address factors that appeared to impact the Regulators’ ability to pursue such actions. Of the seven recommendations, two were applicable to all three agencies, one was applicable to the FRB and OCC, and four were </w:t>
      </w:r>
      <w:r>
        <w:rPr>
          <w:rFonts w:ascii="Georgia" w:hAnsi="Georgia"/>
          <w:b w:val="0"/>
          <w:color w:val="auto"/>
          <w:sz w:val="24"/>
          <w:szCs w:val="24"/>
        </w:rPr>
        <w:t xml:space="preserve">applicable to the FDIC. </w:t>
      </w:r>
    </w:p>
    <w:p w:rsidR="00507C8E" w:rsidRDefault="00507C8E" w:rsidP="00EA036A">
      <w:pPr>
        <w:rPr>
          <w:rFonts w:ascii="Georgia" w:hAnsi="Georgia" w:cs="Arial"/>
          <w:b/>
          <w:i/>
          <w:color w:val="003366"/>
          <w:sz w:val="20"/>
          <w:szCs w:val="20"/>
        </w:rPr>
      </w:pPr>
    </w:p>
    <w:p w:rsidR="00D53155" w:rsidRDefault="00D53155" w:rsidP="00EA036A">
      <w:pPr>
        <w:rPr>
          <w:rFonts w:ascii="Georgia" w:hAnsi="Georgia" w:cs="Arial"/>
        </w:rPr>
      </w:pPr>
    </w:p>
    <w:p w:rsidR="00507C8E" w:rsidRPr="00C83D41" w:rsidRDefault="00024C77" w:rsidP="00507C8E">
      <w:pPr>
        <w:pStyle w:val="Heading"/>
        <w:rPr>
          <w:color w:val="002060"/>
          <w:sz w:val="24"/>
          <w:szCs w:val="24"/>
        </w:rPr>
      </w:pPr>
      <w:r>
        <w:rPr>
          <w:color w:val="002060"/>
          <w:sz w:val="24"/>
          <w:szCs w:val="24"/>
        </w:rPr>
        <w:t>OCC &amp; CFPB speak at Association of Military Banks of America Workshop</w:t>
      </w:r>
      <w:r w:rsidR="00507C8E" w:rsidRPr="00C83D41">
        <w:rPr>
          <w:color w:val="002060"/>
          <w:sz w:val="24"/>
          <w:szCs w:val="24"/>
        </w:rPr>
        <w:br/>
      </w:r>
    </w:p>
    <w:p w:rsidR="00507C8E" w:rsidRDefault="00024C77" w:rsidP="00507C8E">
      <w:pPr>
        <w:pStyle w:val="Heading"/>
        <w:rPr>
          <w:rFonts w:ascii="Georgia" w:hAnsi="Georgia"/>
          <w:b w:val="0"/>
          <w:color w:val="auto"/>
          <w:sz w:val="24"/>
          <w:szCs w:val="24"/>
        </w:rPr>
      </w:pPr>
      <w:r>
        <w:rPr>
          <w:rFonts w:ascii="Georgia" w:hAnsi="Georgia"/>
          <w:b w:val="0"/>
          <w:color w:val="auto"/>
          <w:sz w:val="24"/>
          <w:szCs w:val="24"/>
        </w:rPr>
        <w:t xml:space="preserve">The Deputy Comptroller of Compliance Policy, Grovetta Garineer, and the Director of the CFPB, Richard Cordray both spoke August 18th at the Association of Military Bank of America Workshop.  Ms. Garineer’s </w:t>
      </w:r>
      <w:hyperlink r:id="rId67" w:history="1">
        <w:r w:rsidRPr="00024C77">
          <w:rPr>
            <w:rStyle w:val="Hyperlink"/>
            <w:rFonts w:ascii="Georgia" w:hAnsi="Georgia" w:cs="Arial"/>
            <w:b w:val="0"/>
            <w:sz w:val="24"/>
            <w:szCs w:val="24"/>
          </w:rPr>
          <w:t>comments</w:t>
        </w:r>
      </w:hyperlink>
      <w:r>
        <w:rPr>
          <w:rStyle w:val="EndnoteReference"/>
          <w:rFonts w:ascii="Georgia" w:hAnsi="Georgia"/>
          <w:b w:val="0"/>
          <w:color w:val="auto"/>
          <w:sz w:val="24"/>
          <w:szCs w:val="24"/>
        </w:rPr>
        <w:endnoteReference w:id="39"/>
      </w:r>
      <w:r>
        <w:rPr>
          <w:rFonts w:ascii="Georgia" w:hAnsi="Georgia"/>
          <w:b w:val="0"/>
          <w:color w:val="auto"/>
          <w:sz w:val="24"/>
          <w:szCs w:val="24"/>
        </w:rPr>
        <w:t xml:space="preserve"> focused on national bank violations of the SCRA and UDAP, particularly with respect to overdraft and administrative fees. Mr. Cordray’s </w:t>
      </w:r>
      <w:hyperlink r:id="rId68" w:history="1">
        <w:r w:rsidRPr="004A7B7D">
          <w:rPr>
            <w:rStyle w:val="Hyperlink"/>
            <w:rFonts w:ascii="Georgia" w:hAnsi="Georgia" w:cs="Arial"/>
            <w:b w:val="0"/>
            <w:sz w:val="24"/>
            <w:szCs w:val="24"/>
          </w:rPr>
          <w:t>commented</w:t>
        </w:r>
      </w:hyperlink>
      <w:r w:rsidR="004A7B7D">
        <w:rPr>
          <w:rStyle w:val="EndnoteReference"/>
          <w:rFonts w:ascii="Georgia" w:hAnsi="Georgia"/>
          <w:b w:val="0"/>
          <w:color w:val="auto"/>
          <w:sz w:val="24"/>
          <w:szCs w:val="24"/>
        </w:rPr>
        <w:endnoteReference w:id="40"/>
      </w:r>
      <w:r>
        <w:rPr>
          <w:rFonts w:ascii="Georgia" w:hAnsi="Georgia"/>
          <w:b w:val="0"/>
          <w:color w:val="auto"/>
          <w:sz w:val="24"/>
          <w:szCs w:val="24"/>
        </w:rPr>
        <w:t xml:space="preserve"> on the importance of communi</w:t>
      </w:r>
      <w:r w:rsidR="004A7B7D">
        <w:rPr>
          <w:rFonts w:ascii="Georgia" w:hAnsi="Georgia"/>
          <w:b w:val="0"/>
          <w:color w:val="auto"/>
          <w:sz w:val="24"/>
          <w:szCs w:val="24"/>
        </w:rPr>
        <w:t>ty banks, the CFPB’s tools, and how CFPB’s rules recognize that one size does not fit all in financial regulation.</w:t>
      </w:r>
    </w:p>
    <w:p w:rsidR="00507C8E" w:rsidRDefault="00507C8E" w:rsidP="00507C8E">
      <w:pPr>
        <w:pStyle w:val="Heading"/>
        <w:rPr>
          <w:rFonts w:ascii="Georgia" w:hAnsi="Georgia"/>
          <w:b w:val="0"/>
          <w:color w:val="auto"/>
          <w:sz w:val="24"/>
          <w:szCs w:val="24"/>
        </w:rPr>
      </w:pPr>
    </w:p>
    <w:p w:rsidR="0045317F" w:rsidRDefault="0045317F" w:rsidP="00507C8E">
      <w:pPr>
        <w:pStyle w:val="Heading"/>
        <w:rPr>
          <w:rFonts w:ascii="Georgia" w:hAnsi="Georgia"/>
          <w:b w:val="0"/>
          <w:color w:val="auto"/>
          <w:sz w:val="24"/>
          <w:szCs w:val="24"/>
        </w:rPr>
      </w:pPr>
    </w:p>
    <w:p w:rsidR="0045317F" w:rsidRDefault="0045317F" w:rsidP="00507C8E">
      <w:pPr>
        <w:pStyle w:val="Heading"/>
        <w:rPr>
          <w:rFonts w:ascii="Georgia" w:hAnsi="Georgia"/>
          <w:b w:val="0"/>
          <w:color w:val="auto"/>
          <w:sz w:val="24"/>
          <w:szCs w:val="24"/>
        </w:rPr>
      </w:pPr>
      <w:r>
        <w:rPr>
          <w:color w:val="002060"/>
          <w:sz w:val="24"/>
          <w:szCs w:val="24"/>
        </w:rPr>
        <w:t>FFIEC agencies: Small business, farm, and community development lending data</w:t>
      </w:r>
    </w:p>
    <w:p w:rsidR="0045317F" w:rsidRDefault="0045317F" w:rsidP="00507C8E">
      <w:pPr>
        <w:pStyle w:val="Heading"/>
        <w:rPr>
          <w:rFonts w:ascii="Georgia" w:hAnsi="Georgia"/>
          <w:b w:val="0"/>
          <w:color w:val="auto"/>
          <w:sz w:val="24"/>
          <w:szCs w:val="24"/>
        </w:rPr>
      </w:pPr>
    </w:p>
    <w:p w:rsidR="0045317F" w:rsidRDefault="0045317F" w:rsidP="0045317F">
      <w:pPr>
        <w:pStyle w:val="Heading"/>
        <w:rPr>
          <w:rFonts w:ascii="Georgia" w:hAnsi="Georgia"/>
          <w:b w:val="0"/>
          <w:color w:val="auto"/>
          <w:sz w:val="24"/>
          <w:szCs w:val="24"/>
        </w:rPr>
      </w:pPr>
      <w:r w:rsidRPr="0045317F">
        <w:rPr>
          <w:rFonts w:ascii="Georgia" w:hAnsi="Georgia"/>
          <w:b w:val="0"/>
          <w:color w:val="auto"/>
          <w:sz w:val="24"/>
          <w:szCs w:val="24"/>
        </w:rPr>
        <w:t xml:space="preserve">The three federal banking agency members of the </w:t>
      </w:r>
      <w:r w:rsidR="0054778D">
        <w:rPr>
          <w:rFonts w:ascii="Georgia" w:hAnsi="Georgia"/>
          <w:b w:val="0"/>
          <w:color w:val="auto"/>
          <w:sz w:val="24"/>
          <w:szCs w:val="24"/>
        </w:rPr>
        <w:t>FFIEC</w:t>
      </w:r>
      <w:r w:rsidRPr="0045317F">
        <w:rPr>
          <w:rFonts w:ascii="Georgia" w:hAnsi="Georgia"/>
          <w:b w:val="0"/>
          <w:color w:val="auto"/>
          <w:sz w:val="24"/>
          <w:szCs w:val="24"/>
        </w:rPr>
        <w:t xml:space="preserve"> w</w:t>
      </w:r>
      <w:r w:rsidR="0054778D">
        <w:rPr>
          <w:rFonts w:ascii="Georgia" w:hAnsi="Georgia"/>
          <w:b w:val="0"/>
          <w:color w:val="auto"/>
          <w:sz w:val="24"/>
          <w:szCs w:val="24"/>
        </w:rPr>
        <w:t>ith CRA</w:t>
      </w:r>
      <w:r w:rsidRPr="0045317F">
        <w:rPr>
          <w:rFonts w:ascii="Georgia" w:hAnsi="Georgia"/>
          <w:b w:val="0"/>
          <w:color w:val="auto"/>
          <w:sz w:val="24"/>
          <w:szCs w:val="24"/>
        </w:rPr>
        <w:t xml:space="preserve"> responsibilities –</w:t>
      </w:r>
      <w:r w:rsidR="0054778D">
        <w:rPr>
          <w:rFonts w:ascii="Georgia" w:hAnsi="Georgia"/>
          <w:b w:val="0"/>
          <w:color w:val="auto"/>
          <w:sz w:val="24"/>
          <w:szCs w:val="24"/>
        </w:rPr>
        <w:t>Federal Reserve</w:t>
      </w:r>
      <w:r w:rsidRPr="0045317F">
        <w:rPr>
          <w:rFonts w:ascii="Georgia" w:hAnsi="Georgia"/>
          <w:b w:val="0"/>
          <w:color w:val="auto"/>
          <w:sz w:val="24"/>
          <w:szCs w:val="24"/>
        </w:rPr>
        <w:t xml:space="preserve">, the </w:t>
      </w:r>
      <w:r w:rsidR="0054778D">
        <w:rPr>
          <w:rFonts w:ascii="Georgia" w:hAnsi="Georgia"/>
          <w:b w:val="0"/>
          <w:color w:val="auto"/>
          <w:sz w:val="24"/>
          <w:szCs w:val="24"/>
        </w:rPr>
        <w:t>FDIC</w:t>
      </w:r>
      <w:r w:rsidRPr="0045317F">
        <w:rPr>
          <w:rFonts w:ascii="Georgia" w:hAnsi="Georgia"/>
          <w:b w:val="0"/>
          <w:color w:val="auto"/>
          <w:sz w:val="24"/>
          <w:szCs w:val="24"/>
        </w:rPr>
        <w:t>, and the O</w:t>
      </w:r>
      <w:r w:rsidR="0054778D">
        <w:rPr>
          <w:rFonts w:ascii="Georgia" w:hAnsi="Georgia"/>
          <w:b w:val="0"/>
          <w:color w:val="auto"/>
          <w:sz w:val="24"/>
          <w:szCs w:val="24"/>
        </w:rPr>
        <w:t>CC</w:t>
      </w:r>
      <w:r w:rsidRPr="0045317F">
        <w:rPr>
          <w:rFonts w:ascii="Georgia" w:hAnsi="Georgia"/>
          <w:b w:val="0"/>
          <w:color w:val="auto"/>
          <w:sz w:val="24"/>
          <w:szCs w:val="24"/>
        </w:rPr>
        <w:t xml:space="preserve">– announced today the availability of </w:t>
      </w:r>
      <w:hyperlink r:id="rId69" w:history="1">
        <w:r w:rsidRPr="0054778D">
          <w:rPr>
            <w:rStyle w:val="Hyperlink"/>
            <w:rFonts w:ascii="Georgia" w:hAnsi="Georgia" w:cs="Arial"/>
            <w:b w:val="0"/>
            <w:sz w:val="24"/>
            <w:szCs w:val="24"/>
          </w:rPr>
          <w:t>data</w:t>
        </w:r>
      </w:hyperlink>
      <w:r w:rsidR="0054778D">
        <w:rPr>
          <w:rStyle w:val="EndnoteReference"/>
          <w:rFonts w:ascii="Georgia" w:hAnsi="Georgia"/>
          <w:b w:val="0"/>
          <w:color w:val="auto"/>
          <w:sz w:val="24"/>
          <w:szCs w:val="24"/>
        </w:rPr>
        <w:endnoteReference w:id="41"/>
      </w:r>
      <w:r w:rsidRPr="0045317F">
        <w:rPr>
          <w:rFonts w:ascii="Georgia" w:hAnsi="Georgia"/>
          <w:b w:val="0"/>
          <w:color w:val="auto"/>
          <w:sz w:val="24"/>
          <w:szCs w:val="24"/>
        </w:rPr>
        <w:t xml:space="preserve"> on small business, small farm, and community development lending reported by certain commercial banks and savings associations, pursuant to the CRA.</w:t>
      </w:r>
    </w:p>
    <w:p w:rsidR="0097160F" w:rsidRDefault="0097160F" w:rsidP="00F24396">
      <w:pPr>
        <w:pStyle w:val="Heading"/>
        <w:pBdr>
          <w:bottom w:val="single" w:sz="12" w:space="1" w:color="auto"/>
        </w:pBdr>
        <w:rPr>
          <w:rFonts w:ascii="Georgia" w:hAnsi="Georgia"/>
          <w:i/>
          <w:color w:val="003366"/>
          <w:sz w:val="20"/>
          <w:szCs w:val="20"/>
        </w:rPr>
      </w:pPr>
    </w:p>
    <w:p w:rsidR="00285503" w:rsidRDefault="00285503" w:rsidP="00222DDA">
      <w:pPr>
        <w:pStyle w:val="Heading"/>
      </w:pPr>
      <w:bookmarkStart w:id="9" w:name="_Toc290899695"/>
      <w:bookmarkStart w:id="10" w:name="_Toc290899927"/>
      <w:bookmarkStart w:id="11" w:name="_Toc290973028"/>
      <w:bookmarkEnd w:id="3"/>
      <w:bookmarkEnd w:id="4"/>
      <w:bookmarkEnd w:id="5"/>
      <w:bookmarkEnd w:id="6"/>
      <w:bookmarkEnd w:id="7"/>
      <w:bookmarkEnd w:id="8"/>
    </w:p>
    <w:p w:rsidR="00222DDA" w:rsidRPr="00222DDA" w:rsidRDefault="00142CF7" w:rsidP="00222DDA">
      <w:pPr>
        <w:pStyle w:val="Heading"/>
      </w:pPr>
      <w:r>
        <w:t>Federal a</w:t>
      </w:r>
      <w:r w:rsidR="00571A10" w:rsidRPr="00CA4E29">
        <w:t>gency rulemaking:</w:t>
      </w:r>
    </w:p>
    <w:p w:rsidR="00222DDA" w:rsidRDefault="00222DDA" w:rsidP="00571A10"/>
    <w:p w:rsidR="00CE1D98" w:rsidRPr="00181C1B" w:rsidRDefault="003479E3" w:rsidP="00303A35">
      <w:pPr>
        <w:rPr>
          <w:rFonts w:ascii="Georgia" w:hAnsi="Georgia"/>
        </w:rPr>
      </w:pPr>
      <w:r>
        <w:rPr>
          <w:rFonts w:ascii="Arial" w:hAnsi="Arial" w:cs="Arial"/>
          <w:i/>
          <w:noProof/>
          <w:color w:val="006600"/>
          <w:sz w:val="40"/>
          <w:szCs w:val="40"/>
        </w:rPr>
        <w:drawing>
          <wp:inline distT="0" distB="0" distL="0" distR="0">
            <wp:extent cx="281940" cy="220980"/>
            <wp:effectExtent l="0" t="0" r="3810" b="762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20980"/>
                    </a:xfrm>
                    <a:prstGeom prst="rect">
                      <a:avLst/>
                    </a:prstGeom>
                    <a:noFill/>
                    <a:ln>
                      <a:noFill/>
                    </a:ln>
                  </pic:spPr>
                </pic:pic>
              </a:graphicData>
            </a:graphic>
          </wp:inline>
        </w:drawing>
      </w:r>
      <w:r w:rsidR="00571A10" w:rsidRPr="00CA4E29">
        <w:rPr>
          <w:rFonts w:ascii="Arial" w:hAnsi="Arial" w:cs="Arial"/>
          <w:i/>
          <w:color w:val="006600"/>
          <w:sz w:val="40"/>
          <w:szCs w:val="40"/>
        </w:rPr>
        <w:t>Selected final ru</w:t>
      </w:r>
      <w:r w:rsidR="00404C19">
        <w:rPr>
          <w:rFonts w:ascii="Arial" w:hAnsi="Arial" w:cs="Arial"/>
          <w:i/>
          <w:color w:val="006600"/>
          <w:sz w:val="40"/>
          <w:szCs w:val="40"/>
        </w:rPr>
        <w:t xml:space="preserve">les since last </w:t>
      </w:r>
      <w:r w:rsidR="00404C19" w:rsidRPr="00285503">
        <w:rPr>
          <w:rFonts w:ascii="Arial" w:hAnsi="Arial" w:cs="Arial"/>
          <w:i/>
          <w:color w:val="006600"/>
          <w:sz w:val="40"/>
          <w:szCs w:val="40"/>
        </w:rPr>
        <w:t>Capitol</w:t>
      </w:r>
      <w:r w:rsidR="00404C19">
        <w:rPr>
          <w:rFonts w:ascii="Arial" w:hAnsi="Arial" w:cs="Arial"/>
          <w:i/>
          <w:color w:val="006600"/>
          <w:sz w:val="40"/>
          <w:szCs w:val="40"/>
        </w:rPr>
        <w:t xml:space="preserve"> Comments</w:t>
      </w:r>
    </w:p>
    <w:p w:rsidR="004A7D6E" w:rsidRDefault="004A7D6E" w:rsidP="0014105D"/>
    <w:p w:rsidR="00043AAD" w:rsidRDefault="00301414" w:rsidP="00043AAD">
      <w:pPr>
        <w:ind w:left="1440" w:hanging="1440"/>
        <w:rPr>
          <w:rFonts w:ascii="Georgia" w:hAnsi="Georgia" w:cs="Arial"/>
          <w:sz w:val="20"/>
          <w:szCs w:val="20"/>
        </w:rPr>
      </w:pPr>
      <w:r>
        <w:rPr>
          <w:rFonts w:ascii="Georgia" w:hAnsi="Georgia" w:cs="Arial"/>
          <w:sz w:val="20"/>
          <w:szCs w:val="20"/>
        </w:rPr>
        <w:t>01.01.2015</w:t>
      </w:r>
      <w:r>
        <w:rPr>
          <w:rFonts w:ascii="Georgia" w:hAnsi="Georgia" w:cs="Arial"/>
          <w:sz w:val="20"/>
          <w:szCs w:val="20"/>
        </w:rPr>
        <w:tab/>
      </w:r>
      <w:r w:rsidR="00565DE5">
        <w:rPr>
          <w:rFonts w:ascii="Georgia" w:hAnsi="Georgia" w:cs="Arial"/>
          <w:b/>
          <w:sz w:val="20"/>
          <w:szCs w:val="20"/>
        </w:rPr>
        <w:t>Reg. Z a</w:t>
      </w:r>
      <w:r w:rsidR="00565DE5" w:rsidRPr="00565DE5">
        <w:rPr>
          <w:rFonts w:ascii="Georgia" w:hAnsi="Georgia" w:cs="Arial"/>
          <w:b/>
          <w:sz w:val="20"/>
          <w:szCs w:val="20"/>
        </w:rPr>
        <w:t xml:space="preserve">nnual </w:t>
      </w:r>
      <w:r w:rsidR="00565DE5">
        <w:rPr>
          <w:rFonts w:ascii="Georgia" w:hAnsi="Georgia" w:cs="Arial"/>
          <w:b/>
          <w:sz w:val="20"/>
          <w:szCs w:val="20"/>
        </w:rPr>
        <w:t>threshold a</w:t>
      </w:r>
      <w:r w:rsidR="00565DE5" w:rsidRPr="00565DE5">
        <w:rPr>
          <w:rFonts w:ascii="Georgia" w:hAnsi="Georgia" w:cs="Arial"/>
          <w:b/>
          <w:sz w:val="20"/>
          <w:szCs w:val="20"/>
        </w:rPr>
        <w:t>djustments</w:t>
      </w:r>
      <w:r w:rsidR="00565DE5">
        <w:rPr>
          <w:rFonts w:ascii="Georgia" w:hAnsi="Georgia" w:cs="Arial"/>
          <w:sz w:val="20"/>
          <w:szCs w:val="20"/>
        </w:rPr>
        <w:t xml:space="preserve">. </w:t>
      </w:r>
      <w:r>
        <w:rPr>
          <w:rFonts w:ascii="Georgia" w:hAnsi="Georgia" w:cs="Arial"/>
          <w:sz w:val="20"/>
          <w:szCs w:val="20"/>
        </w:rPr>
        <w:t>The CFPB issued a</w:t>
      </w:r>
      <w:r w:rsidRPr="00301414">
        <w:rPr>
          <w:rFonts w:ascii="Georgia" w:hAnsi="Georgia" w:cs="Arial"/>
          <w:sz w:val="20"/>
          <w:szCs w:val="20"/>
        </w:rPr>
        <w:t xml:space="preserve"> </w:t>
      </w:r>
      <w:hyperlink r:id="rId70" w:anchor="h-4" w:history="1">
        <w:r w:rsidRPr="00E737E3">
          <w:rPr>
            <w:rStyle w:val="Hyperlink"/>
            <w:rFonts w:ascii="Georgia" w:hAnsi="Georgia" w:cs="Arial"/>
            <w:sz w:val="20"/>
            <w:szCs w:val="20"/>
          </w:rPr>
          <w:t>final rule</w:t>
        </w:r>
      </w:hyperlink>
      <w:r w:rsidR="00E737E3">
        <w:rPr>
          <w:rStyle w:val="EndnoteReference"/>
          <w:rFonts w:ascii="Georgia" w:hAnsi="Georgia"/>
          <w:sz w:val="20"/>
          <w:szCs w:val="20"/>
        </w:rPr>
        <w:endnoteReference w:id="42"/>
      </w:r>
      <w:r w:rsidRPr="00301414">
        <w:rPr>
          <w:rFonts w:ascii="Georgia" w:hAnsi="Georgia" w:cs="Arial"/>
          <w:sz w:val="20"/>
          <w:szCs w:val="20"/>
        </w:rPr>
        <w:t xml:space="preserve"> amending the regulatory text and official interpretations for Regulation Z</w:t>
      </w:r>
      <w:r>
        <w:rPr>
          <w:rFonts w:ascii="Georgia" w:hAnsi="Georgia" w:cs="Arial"/>
          <w:sz w:val="20"/>
          <w:szCs w:val="20"/>
        </w:rPr>
        <w:t xml:space="preserve"> </w:t>
      </w:r>
      <w:r w:rsidRPr="00301414">
        <w:rPr>
          <w:rFonts w:ascii="Georgia" w:hAnsi="Georgia" w:cs="Arial"/>
          <w:sz w:val="20"/>
          <w:szCs w:val="20"/>
        </w:rPr>
        <w:t xml:space="preserve"> The </w:t>
      </w:r>
      <w:r>
        <w:rPr>
          <w:rFonts w:ascii="Georgia" w:hAnsi="Georgia" w:cs="Arial"/>
          <w:sz w:val="20"/>
          <w:szCs w:val="20"/>
        </w:rPr>
        <w:t>CFPB must</w:t>
      </w:r>
      <w:r w:rsidRPr="00301414">
        <w:rPr>
          <w:rFonts w:ascii="Georgia" w:hAnsi="Georgia" w:cs="Arial"/>
          <w:sz w:val="20"/>
          <w:szCs w:val="20"/>
        </w:rPr>
        <w:t xml:space="preserve"> calculate annually the dollar amounts for sev</w:t>
      </w:r>
      <w:r w:rsidR="00043AAD">
        <w:rPr>
          <w:rFonts w:ascii="Georgia" w:hAnsi="Georgia" w:cs="Arial"/>
          <w:sz w:val="20"/>
          <w:szCs w:val="20"/>
        </w:rPr>
        <w:t>eral provisions in Regulation Z. T</w:t>
      </w:r>
      <w:r w:rsidRPr="00301414">
        <w:rPr>
          <w:rFonts w:ascii="Georgia" w:hAnsi="Georgia" w:cs="Arial"/>
          <w:sz w:val="20"/>
          <w:szCs w:val="20"/>
        </w:rPr>
        <w:t xml:space="preserve">his final rule reviews the dollar amounts for provisions implementing amendments to TILA under the </w:t>
      </w:r>
      <w:r>
        <w:rPr>
          <w:rFonts w:ascii="Georgia" w:hAnsi="Georgia" w:cs="Arial"/>
          <w:sz w:val="20"/>
          <w:szCs w:val="20"/>
        </w:rPr>
        <w:t xml:space="preserve">CARD Act, </w:t>
      </w:r>
      <w:r w:rsidRPr="00301414">
        <w:rPr>
          <w:rFonts w:ascii="Georgia" w:hAnsi="Georgia" w:cs="Arial"/>
          <w:sz w:val="20"/>
          <w:szCs w:val="20"/>
        </w:rPr>
        <w:t xml:space="preserve">HOEPA, and the </w:t>
      </w:r>
      <w:r>
        <w:rPr>
          <w:rFonts w:ascii="Georgia" w:hAnsi="Georgia" w:cs="Arial"/>
          <w:sz w:val="20"/>
          <w:szCs w:val="20"/>
        </w:rPr>
        <w:t>Dodd-Frank Act</w:t>
      </w:r>
      <w:r w:rsidR="00043AAD">
        <w:rPr>
          <w:rFonts w:ascii="Georgia" w:hAnsi="Georgia" w:cs="Arial"/>
          <w:sz w:val="20"/>
          <w:szCs w:val="20"/>
        </w:rPr>
        <w:t xml:space="preserve"> as follows:</w:t>
      </w:r>
    </w:p>
    <w:p w:rsidR="00043AAD" w:rsidRDefault="00043AAD" w:rsidP="00043AAD">
      <w:pPr>
        <w:ind w:left="1440" w:hanging="1440"/>
        <w:rPr>
          <w:rFonts w:ascii="Georgia" w:hAnsi="Georgia" w:cs="Arial"/>
          <w:sz w:val="20"/>
          <w:szCs w:val="20"/>
        </w:rPr>
      </w:pPr>
    </w:p>
    <w:p w:rsidR="00043AAD" w:rsidRDefault="00043AAD" w:rsidP="00043AAD">
      <w:pPr>
        <w:ind w:left="1440"/>
        <w:rPr>
          <w:rFonts w:ascii="Georgia" w:hAnsi="Georgia" w:cs="Arial"/>
          <w:sz w:val="20"/>
          <w:szCs w:val="20"/>
        </w:rPr>
      </w:pPr>
      <w:r>
        <w:rPr>
          <w:rFonts w:ascii="Georgia" w:hAnsi="Georgia" w:cs="Arial"/>
          <w:sz w:val="20"/>
          <w:szCs w:val="20"/>
        </w:rPr>
        <w:t xml:space="preserve">CARD Act: </w:t>
      </w:r>
      <w:r w:rsidR="00301414" w:rsidRPr="00301414">
        <w:rPr>
          <w:rFonts w:ascii="Georgia" w:hAnsi="Georgia" w:cs="Arial"/>
          <w:sz w:val="20"/>
          <w:szCs w:val="20"/>
        </w:rPr>
        <w:t xml:space="preserve">The minimum interest charge disclosure thresholds will remain unchanged in 2015. The adjusted dollar amount for the penalty fees safe harbor in 2015 is $27 for a first late payment and $38 for each subsequent violation within the following six months. </w:t>
      </w:r>
    </w:p>
    <w:p w:rsidR="00043AAD" w:rsidRDefault="00043AAD" w:rsidP="00043AAD">
      <w:pPr>
        <w:ind w:left="1440"/>
        <w:rPr>
          <w:rFonts w:ascii="Georgia" w:hAnsi="Georgia" w:cs="Arial"/>
          <w:sz w:val="20"/>
          <w:szCs w:val="20"/>
        </w:rPr>
      </w:pPr>
    </w:p>
    <w:p w:rsidR="00043AAD" w:rsidRDefault="00043AAD" w:rsidP="00043AAD">
      <w:pPr>
        <w:ind w:left="1440"/>
        <w:rPr>
          <w:rFonts w:ascii="Georgia" w:hAnsi="Georgia" w:cs="Arial"/>
          <w:sz w:val="20"/>
          <w:szCs w:val="20"/>
        </w:rPr>
      </w:pPr>
      <w:r>
        <w:rPr>
          <w:rFonts w:ascii="Georgia" w:hAnsi="Georgia" w:cs="Arial"/>
          <w:sz w:val="20"/>
          <w:szCs w:val="20"/>
        </w:rPr>
        <w:t>HOEPA: T</w:t>
      </w:r>
      <w:r w:rsidR="00301414" w:rsidRPr="00301414">
        <w:rPr>
          <w:rFonts w:ascii="Georgia" w:hAnsi="Georgia" w:cs="Arial"/>
          <w:sz w:val="20"/>
          <w:szCs w:val="20"/>
        </w:rPr>
        <w:t xml:space="preserve">he adjusted total loan amount threshold is $20,391, effective January 1, 2015. The adjusted statutory fee trigger for HOPEA loans is $1,020, effective January 1, 2015. </w:t>
      </w:r>
    </w:p>
    <w:p w:rsidR="00043AAD" w:rsidRDefault="00043AAD" w:rsidP="00043AAD">
      <w:pPr>
        <w:ind w:left="1440"/>
        <w:rPr>
          <w:rFonts w:ascii="Georgia" w:hAnsi="Georgia" w:cs="Arial"/>
          <w:sz w:val="20"/>
          <w:szCs w:val="20"/>
        </w:rPr>
      </w:pPr>
    </w:p>
    <w:p w:rsidR="00EC4BEE" w:rsidRPr="00301414" w:rsidRDefault="00043AAD" w:rsidP="00043AAD">
      <w:pPr>
        <w:ind w:left="1440"/>
        <w:rPr>
          <w:rFonts w:ascii="Georgia" w:hAnsi="Georgia" w:cs="Arial"/>
          <w:sz w:val="20"/>
          <w:szCs w:val="20"/>
        </w:rPr>
      </w:pPr>
      <w:r>
        <w:rPr>
          <w:rFonts w:ascii="Georgia" w:hAnsi="Georgia" w:cs="Arial"/>
          <w:sz w:val="20"/>
          <w:szCs w:val="20"/>
        </w:rPr>
        <w:t xml:space="preserve">Dodd-Frank Act: </w:t>
      </w:r>
      <w:r w:rsidR="00301414" w:rsidRPr="00301414">
        <w:rPr>
          <w:rFonts w:ascii="Georgia" w:hAnsi="Georgia" w:cs="Arial"/>
          <w:sz w:val="20"/>
          <w:szCs w:val="20"/>
        </w:rPr>
        <w:t>Effective January 1, 2015, for the purpose of creditor's determination of a consumer's ability to repay a transaction secured by a dwelling, a covered transaction is not a qualified mortgage unless the transaction's total points and fees do not exceed 3 percent of the total loan amount for a loan greater than or equal to $101,953; $3,059 for a loan amount greater than or equal to $61,172 but less than $101,953; 5 percent of the total loan amount for a loan greater than or equal to $20,391 but less than $61,172; $1,020 for a loan amount greater than or equal to $12,744 but less than $20,391; and 8 percent of the total loan amount for a loan amount less than $12,744.</w:t>
      </w:r>
    </w:p>
    <w:p w:rsidR="002A0C2F" w:rsidRPr="00F702B4" w:rsidRDefault="002A0C2F" w:rsidP="00F702B4">
      <w:pPr>
        <w:rPr>
          <w:rFonts w:ascii="Georgia" w:hAnsi="Georgia"/>
          <w:strike/>
        </w:rPr>
      </w:pPr>
    </w:p>
    <w:p w:rsidR="00571A10" w:rsidRPr="00285503" w:rsidRDefault="00571A10" w:rsidP="00053F37">
      <w:pPr>
        <w:pStyle w:val="Heading"/>
        <w:numPr>
          <w:ilvl w:val="0"/>
          <w:numId w:val="1"/>
        </w:numPr>
        <w:tabs>
          <w:tab w:val="clear" w:pos="720"/>
          <w:tab w:val="num" w:pos="0"/>
        </w:tabs>
        <w:ind w:left="0" w:firstLine="0"/>
        <w:rPr>
          <w:b w:val="0"/>
          <w:i/>
          <w:color w:val="006600"/>
        </w:rPr>
      </w:pPr>
      <w:r w:rsidRPr="00285503">
        <w:rPr>
          <w:b w:val="0"/>
          <w:i/>
          <w:color w:val="006600"/>
        </w:rPr>
        <w:t>Selected upcoming fina</w:t>
      </w:r>
      <w:r w:rsidR="000E6A0E">
        <w:rPr>
          <w:b w:val="0"/>
          <w:i/>
          <w:color w:val="006600"/>
        </w:rPr>
        <w:t>l federal rule compliance dates</w:t>
      </w:r>
    </w:p>
    <w:p w:rsidR="00E0341F" w:rsidRDefault="00E0341F" w:rsidP="00F75D53">
      <w:pPr>
        <w:spacing w:before="100" w:beforeAutospacing="1" w:after="100" w:afterAutospacing="1"/>
        <w:ind w:left="1440" w:hanging="1440"/>
        <w:rPr>
          <w:rFonts w:ascii="Georgia" w:hAnsi="Georgia"/>
          <w:sz w:val="18"/>
          <w:szCs w:val="18"/>
        </w:rPr>
      </w:pPr>
      <w:r>
        <w:rPr>
          <w:rFonts w:ascii="Georgia" w:hAnsi="Georgia"/>
          <w:sz w:val="18"/>
          <w:szCs w:val="18"/>
        </w:rPr>
        <w:t>11.30.2014</w:t>
      </w:r>
      <w:r>
        <w:rPr>
          <w:rFonts w:ascii="Georgia" w:hAnsi="Georgia"/>
          <w:sz w:val="18"/>
          <w:szCs w:val="18"/>
        </w:rPr>
        <w:tab/>
        <w:t xml:space="preserve">Servicemembers Civil Relief Act Notice Disclosure, </w:t>
      </w:r>
      <w:hyperlink r:id="rId71" w:history="1">
        <w:r w:rsidRPr="00E0341F">
          <w:rPr>
            <w:rStyle w:val="Hyperlink"/>
            <w:rFonts w:ascii="Georgia" w:hAnsi="Georgia"/>
            <w:sz w:val="18"/>
            <w:szCs w:val="18"/>
          </w:rPr>
          <w:t>Form HUD-92070</w:t>
        </w:r>
      </w:hyperlink>
      <w:r>
        <w:rPr>
          <w:rStyle w:val="EndnoteReference"/>
          <w:rFonts w:ascii="Georgia" w:hAnsi="Georgia"/>
          <w:sz w:val="18"/>
          <w:szCs w:val="18"/>
        </w:rPr>
        <w:endnoteReference w:id="43"/>
      </w:r>
      <w:r>
        <w:rPr>
          <w:rFonts w:ascii="Georgia" w:hAnsi="Georgia"/>
          <w:sz w:val="18"/>
          <w:szCs w:val="18"/>
        </w:rPr>
        <w:t xml:space="preserve">, expires. </w:t>
      </w:r>
      <w:r w:rsidR="00FD4181">
        <w:rPr>
          <w:rFonts w:ascii="Georgia" w:hAnsi="Georgia"/>
          <w:sz w:val="18"/>
          <w:szCs w:val="18"/>
        </w:rPr>
        <w:t xml:space="preserve"> This form is required to notify homeowners in default of their mortgage of the foreclosure rights of servicemembers and their dependents under SCRA. Presumably, a new form will be available in time.</w:t>
      </w:r>
    </w:p>
    <w:p w:rsidR="007A5242" w:rsidRDefault="007A5242" w:rsidP="007A5242">
      <w:pPr>
        <w:spacing w:before="100" w:beforeAutospacing="1" w:after="100" w:afterAutospacing="1"/>
        <w:ind w:left="1440" w:hanging="1440"/>
        <w:rPr>
          <w:rFonts w:ascii="Georgia" w:hAnsi="Georgia"/>
          <w:sz w:val="18"/>
          <w:szCs w:val="18"/>
        </w:rPr>
      </w:pPr>
      <w:r>
        <w:rPr>
          <w:rFonts w:ascii="Georgia" w:hAnsi="Georgia"/>
          <w:sz w:val="18"/>
          <w:szCs w:val="18"/>
        </w:rPr>
        <w:t>01.01.2015</w:t>
      </w:r>
      <w:r>
        <w:rPr>
          <w:rFonts w:ascii="Georgia" w:hAnsi="Georgia"/>
          <w:sz w:val="18"/>
          <w:szCs w:val="18"/>
        </w:rPr>
        <w:tab/>
      </w:r>
      <w:hyperlink r:id="rId72" w:history="1">
        <w:r w:rsidRPr="007A5242">
          <w:rPr>
            <w:rStyle w:val="Hyperlink"/>
            <w:rFonts w:ascii="Georgia" w:hAnsi="Georgia"/>
            <w:sz w:val="18"/>
            <w:szCs w:val="18"/>
          </w:rPr>
          <w:t>Basel III</w:t>
        </w:r>
      </w:hyperlink>
      <w:r>
        <w:rPr>
          <w:rFonts w:ascii="Georgia" w:hAnsi="Georgia"/>
          <w:sz w:val="18"/>
          <w:szCs w:val="18"/>
        </w:rPr>
        <w:t>.</w:t>
      </w:r>
      <w:r>
        <w:rPr>
          <w:rStyle w:val="EndnoteReference"/>
          <w:rFonts w:ascii="Georgia" w:hAnsi="Georgia"/>
          <w:sz w:val="18"/>
          <w:szCs w:val="18"/>
        </w:rPr>
        <w:endnoteReference w:id="44"/>
      </w:r>
      <w:r>
        <w:rPr>
          <w:rFonts w:ascii="Georgia" w:hAnsi="Georgia"/>
          <w:sz w:val="18"/>
          <w:szCs w:val="18"/>
        </w:rPr>
        <w:t xml:space="preserve"> </w:t>
      </w:r>
      <w:r w:rsidRPr="007A5242">
        <w:rPr>
          <w:rFonts w:ascii="Georgia" w:hAnsi="Georgia"/>
          <w:sz w:val="18"/>
          <w:szCs w:val="18"/>
        </w:rPr>
        <w:t xml:space="preserve">The FDIC has issued an interim final rule that revises the existing capital rules to incorporate certain revisions to the Basel capital framework, including Basel III and other elements. The interim final rule strengthens the definition of regulatory capital, increases risk-based capital requirements, and makes selected changes to the calculation of risk-weighted assets. </w:t>
      </w:r>
      <w:r>
        <w:rPr>
          <w:rFonts w:ascii="Georgia" w:hAnsi="Georgia"/>
          <w:sz w:val="18"/>
          <w:szCs w:val="18"/>
        </w:rPr>
        <w:t>B</w:t>
      </w:r>
      <w:r w:rsidRPr="007A5242">
        <w:rPr>
          <w:rFonts w:ascii="Georgia" w:hAnsi="Georgia"/>
          <w:sz w:val="18"/>
          <w:szCs w:val="18"/>
        </w:rPr>
        <w:t>asel III Framework is effective 1/1/2014 for large, internationally active insured depository institutions and is effective 1/1/2015 for all other insured depository institutions, subject to a transition period.</w:t>
      </w:r>
      <w:r>
        <w:rPr>
          <w:rFonts w:ascii="Georgia" w:hAnsi="Georgia"/>
          <w:sz w:val="18"/>
          <w:szCs w:val="18"/>
        </w:rPr>
        <w:t xml:space="preserve"> </w:t>
      </w:r>
      <w:r w:rsidRPr="007A5242">
        <w:rPr>
          <w:rFonts w:ascii="Georgia" w:hAnsi="Georgia"/>
          <w:sz w:val="18"/>
          <w:szCs w:val="18"/>
        </w:rPr>
        <w:t>Standardized Approach is effective 1/1/2015 for all insured depository institutions Applicability: The rule applies to all FDIC-supervised banks and savings associations.</w:t>
      </w:r>
      <w:r>
        <w:rPr>
          <w:rFonts w:ascii="Georgia" w:hAnsi="Georgia"/>
          <w:sz w:val="18"/>
          <w:szCs w:val="18"/>
        </w:rPr>
        <w:t xml:space="preserve"> </w:t>
      </w:r>
      <w:r w:rsidRPr="007A5242">
        <w:rPr>
          <w:rFonts w:ascii="Georgia" w:hAnsi="Georgia"/>
          <w:sz w:val="18"/>
          <w:szCs w:val="18"/>
        </w:rPr>
        <w:t>Publication Reference: FIL-31-2013 dated 7/9/2013</w:t>
      </w:r>
      <w:r>
        <w:rPr>
          <w:rFonts w:ascii="Georgia" w:hAnsi="Georgia"/>
          <w:sz w:val="18"/>
          <w:szCs w:val="18"/>
        </w:rPr>
        <w:t xml:space="preserve">.  </w:t>
      </w:r>
      <w:r w:rsidRPr="007A5242">
        <w:rPr>
          <w:rFonts w:ascii="Georgia" w:hAnsi="Georgia"/>
          <w:sz w:val="18"/>
          <w:szCs w:val="18"/>
        </w:rPr>
        <w:t>Also See:</w:t>
      </w:r>
      <w:r>
        <w:rPr>
          <w:rFonts w:ascii="Georgia" w:hAnsi="Georgia"/>
          <w:sz w:val="18"/>
          <w:szCs w:val="18"/>
        </w:rPr>
        <w:t xml:space="preserve"> </w:t>
      </w:r>
      <w:r w:rsidRPr="007A5242">
        <w:rPr>
          <w:rFonts w:ascii="Georgia" w:hAnsi="Georgia"/>
          <w:sz w:val="18"/>
          <w:szCs w:val="18"/>
        </w:rPr>
        <w:t>New Capital Rule-Community Bank Guide attached to FIL-13-2013</w:t>
      </w:r>
      <w:r>
        <w:rPr>
          <w:rFonts w:ascii="Georgia" w:hAnsi="Georgia"/>
          <w:sz w:val="18"/>
          <w:szCs w:val="18"/>
        </w:rPr>
        <w:t xml:space="preserve"> </w:t>
      </w:r>
      <w:r w:rsidRPr="007A5242">
        <w:rPr>
          <w:rFonts w:ascii="Georgia" w:hAnsi="Georgia"/>
          <w:sz w:val="18"/>
          <w:szCs w:val="18"/>
        </w:rPr>
        <w:t>Informational video and expanded summar</w:t>
      </w:r>
      <w:r>
        <w:rPr>
          <w:rFonts w:ascii="Georgia" w:hAnsi="Georgia"/>
          <w:sz w:val="18"/>
          <w:szCs w:val="18"/>
        </w:rPr>
        <w:t xml:space="preserve">y on the interim final rule at: </w:t>
      </w:r>
      <w:hyperlink r:id="rId73" w:history="1">
        <w:r w:rsidRPr="00F55077">
          <w:rPr>
            <w:rStyle w:val="Hyperlink"/>
            <w:rFonts w:ascii="Georgia" w:hAnsi="Georgia"/>
            <w:sz w:val="18"/>
            <w:szCs w:val="18"/>
          </w:rPr>
          <w:t>www.fdic.gov/regulations/capital</w:t>
        </w:r>
      </w:hyperlink>
      <w:r w:rsidRPr="007A5242">
        <w:rPr>
          <w:rFonts w:ascii="Georgia" w:hAnsi="Georgia"/>
          <w:sz w:val="18"/>
          <w:szCs w:val="18"/>
        </w:rPr>
        <w:t>.</w:t>
      </w:r>
      <w:r>
        <w:rPr>
          <w:rFonts w:ascii="Georgia" w:hAnsi="Georgia"/>
          <w:sz w:val="18"/>
          <w:szCs w:val="18"/>
        </w:rPr>
        <w:t xml:space="preserve"> </w:t>
      </w:r>
      <w:r w:rsidRPr="007A5242">
        <w:rPr>
          <w:rFonts w:ascii="Georgia" w:hAnsi="Georgia"/>
          <w:sz w:val="18"/>
          <w:szCs w:val="18"/>
        </w:rPr>
        <w:t>FDIC Press Release PR-60-2013 dated 7/9/2013</w:t>
      </w:r>
    </w:p>
    <w:p w:rsidR="00F75D53" w:rsidRPr="00F75D53" w:rsidRDefault="00806EE9" w:rsidP="00F75D53">
      <w:pPr>
        <w:spacing w:before="100" w:beforeAutospacing="1" w:after="100" w:afterAutospacing="1"/>
        <w:ind w:left="1440" w:hanging="1440"/>
      </w:pPr>
      <w:r>
        <w:rPr>
          <w:rFonts w:ascii="Georgia" w:hAnsi="Georgia"/>
          <w:sz w:val="18"/>
          <w:szCs w:val="18"/>
        </w:rPr>
        <w:t>08.01</w:t>
      </w:r>
      <w:r w:rsidR="00F75D53" w:rsidRPr="00CC275D">
        <w:rPr>
          <w:rFonts w:ascii="Georgia" w:hAnsi="Georgia"/>
          <w:sz w:val="18"/>
          <w:szCs w:val="18"/>
        </w:rPr>
        <w:t>.2015</w:t>
      </w:r>
      <w:r w:rsidR="00F75D53">
        <w:rPr>
          <w:sz w:val="18"/>
          <w:szCs w:val="18"/>
        </w:rPr>
        <w:tab/>
      </w:r>
      <w:hyperlink r:id="rId74" w:tgtFrame="_blank" w:history="1">
        <w:r w:rsidR="00F75D53" w:rsidRPr="00F75D53">
          <w:rPr>
            <w:rStyle w:val="Hyperlink"/>
            <w:rFonts w:ascii="Georgia" w:hAnsi="Georgia"/>
            <w:bCs/>
            <w:sz w:val="18"/>
            <w:szCs w:val="18"/>
          </w:rPr>
          <w:t xml:space="preserve">CFPB: Final integrated Mortgage Disclosures </w:t>
        </w:r>
        <w:proofErr w:type="gramStart"/>
        <w:r w:rsidR="00F75D53" w:rsidRPr="00F75D53">
          <w:rPr>
            <w:rStyle w:val="Hyperlink"/>
            <w:rFonts w:ascii="Georgia" w:hAnsi="Georgia"/>
            <w:bCs/>
            <w:sz w:val="18"/>
            <w:szCs w:val="18"/>
          </w:rPr>
          <w:t>Under</w:t>
        </w:r>
        <w:proofErr w:type="gramEnd"/>
        <w:r w:rsidR="00F75D53" w:rsidRPr="00F75D53">
          <w:rPr>
            <w:rStyle w:val="Hyperlink"/>
            <w:rFonts w:ascii="Georgia" w:hAnsi="Georgia"/>
            <w:bCs/>
            <w:sz w:val="18"/>
            <w:szCs w:val="18"/>
          </w:rPr>
          <w:t xml:space="preserve"> the RESPA (Reg. X) and the Truth In Lending Act (Reg. Z)</w:t>
        </w:r>
      </w:hyperlink>
      <w:r w:rsidR="007A511F" w:rsidRPr="007A511F">
        <w:rPr>
          <w:rStyle w:val="EndnoteReference"/>
          <w:rFonts w:ascii="Georgia" w:hAnsi="Georgia"/>
          <w:sz w:val="18"/>
          <w:szCs w:val="18"/>
        </w:rPr>
        <w:endnoteReference w:id="45"/>
      </w:r>
      <w:r w:rsidR="00F75D53" w:rsidRPr="007A511F">
        <w:rPr>
          <w:rFonts w:ascii="Georgia" w:hAnsi="Georgia"/>
          <w:sz w:val="18"/>
          <w:szCs w:val="18"/>
        </w:rPr>
        <w:t xml:space="preserve"> </w:t>
      </w:r>
      <w:r w:rsidR="00F75D53" w:rsidRPr="00F75D53">
        <w:rPr>
          <w:rFonts w:ascii="Georgia" w:hAnsi="Georgia"/>
          <w:sz w:val="18"/>
          <w:szCs w:val="18"/>
        </w:rPr>
        <w:t xml:space="preserve">Notice of final rule and official interpretations. </w:t>
      </w:r>
      <w:hyperlink r:id="rId75" w:history="1">
        <w:r w:rsidR="00F75D53" w:rsidRPr="00F75D53">
          <w:rPr>
            <w:rStyle w:val="Hyperlink"/>
            <w:rFonts w:ascii="Georgia" w:hAnsi="Georgia"/>
            <w:sz w:val="18"/>
            <w:szCs w:val="18"/>
          </w:rPr>
          <w:t>CFPB blog on the disclosure</w:t>
        </w:r>
      </w:hyperlink>
      <w:r w:rsidR="00F75D53" w:rsidRPr="00F75D53">
        <w:rPr>
          <w:rFonts w:ascii="Georgia" w:hAnsi="Georgia"/>
          <w:sz w:val="18"/>
          <w:szCs w:val="18"/>
        </w:rPr>
        <w:t>.</w:t>
      </w:r>
    </w:p>
    <w:p w:rsidR="00571A10" w:rsidRDefault="00571A10" w:rsidP="00DF6580">
      <w:pPr>
        <w:rPr>
          <w:rFonts w:ascii="Georgia" w:hAnsi="Georgia"/>
          <w:b/>
          <w:i/>
          <w:color w:val="003366"/>
          <w:sz w:val="20"/>
          <w:szCs w:val="20"/>
        </w:rPr>
      </w:pPr>
      <w:r w:rsidRPr="00A37CDD">
        <w:rPr>
          <w:rFonts w:ascii="Georgia" w:hAnsi="Georgia"/>
          <w:b/>
          <w:i/>
          <w:color w:val="003366"/>
          <w:sz w:val="20"/>
          <w:szCs w:val="20"/>
        </w:rPr>
        <w:t>Comment:</w:t>
      </w:r>
      <w:r>
        <w:rPr>
          <w:rFonts w:ascii="Georgia" w:hAnsi="Georgia"/>
          <w:b/>
          <w:i/>
          <w:color w:val="003366"/>
          <w:sz w:val="20"/>
          <w:szCs w:val="20"/>
        </w:rPr>
        <w:t xml:space="preserve"> </w:t>
      </w:r>
      <w:r w:rsidRPr="00A37CDD">
        <w:rPr>
          <w:rFonts w:ascii="Georgia" w:hAnsi="Georgia"/>
          <w:b/>
          <w:i/>
          <w:color w:val="003366"/>
          <w:sz w:val="20"/>
          <w:szCs w:val="20"/>
        </w:rPr>
        <w:t>Distribute</w:t>
      </w:r>
      <w:r>
        <w:rPr>
          <w:rFonts w:ascii="Georgia" w:hAnsi="Georgia"/>
          <w:b/>
          <w:i/>
          <w:color w:val="003366"/>
          <w:sz w:val="20"/>
          <w:szCs w:val="20"/>
        </w:rPr>
        <w:t xml:space="preserve"> </w:t>
      </w:r>
      <w:r w:rsidRPr="00A37CDD">
        <w:rPr>
          <w:rFonts w:ascii="Georgia" w:hAnsi="Georgia"/>
          <w:b/>
          <w:i/>
          <w:color w:val="003366"/>
          <w:sz w:val="20"/>
          <w:szCs w:val="20"/>
        </w:rPr>
        <w:t>this</w:t>
      </w:r>
      <w:r>
        <w:rPr>
          <w:rFonts w:ascii="Georgia" w:hAnsi="Georgia"/>
          <w:b/>
          <w:i/>
          <w:color w:val="003366"/>
          <w:sz w:val="20"/>
          <w:szCs w:val="20"/>
        </w:rPr>
        <w:t xml:space="preserve"> </w:t>
      </w:r>
      <w:r w:rsidRPr="00A37CDD">
        <w:rPr>
          <w:rFonts w:ascii="Georgia" w:hAnsi="Georgia"/>
          <w:b/>
          <w:i/>
          <w:color w:val="003366"/>
          <w:sz w:val="20"/>
          <w:szCs w:val="20"/>
        </w:rPr>
        <w:t>calendar</w:t>
      </w:r>
      <w:r>
        <w:rPr>
          <w:rFonts w:ascii="Georgia" w:hAnsi="Georgia"/>
          <w:b/>
          <w:i/>
          <w:color w:val="003366"/>
          <w:sz w:val="20"/>
          <w:szCs w:val="20"/>
        </w:rPr>
        <w:t xml:space="preserve"> </w:t>
      </w:r>
      <w:r w:rsidRPr="00A37CDD">
        <w:rPr>
          <w:rFonts w:ascii="Georgia" w:hAnsi="Georgia"/>
          <w:b/>
          <w:i/>
          <w:color w:val="003366"/>
          <w:sz w:val="20"/>
          <w:szCs w:val="20"/>
        </w:rPr>
        <w:t>to</w:t>
      </w:r>
      <w:r>
        <w:rPr>
          <w:rFonts w:ascii="Georgia" w:hAnsi="Georgia"/>
          <w:b/>
          <w:i/>
          <w:color w:val="003366"/>
          <w:sz w:val="20"/>
          <w:szCs w:val="20"/>
        </w:rPr>
        <w:t xml:space="preserve"> </w:t>
      </w:r>
      <w:r w:rsidRPr="00A37CDD">
        <w:rPr>
          <w:rFonts w:ascii="Georgia" w:hAnsi="Georgia"/>
          <w:b/>
          <w:i/>
          <w:color w:val="003366"/>
          <w:sz w:val="20"/>
          <w:szCs w:val="20"/>
        </w:rPr>
        <w:t>your</w:t>
      </w:r>
      <w:r>
        <w:rPr>
          <w:rFonts w:ascii="Georgia" w:hAnsi="Georgia"/>
          <w:b/>
          <w:i/>
          <w:color w:val="003366"/>
          <w:sz w:val="20"/>
          <w:szCs w:val="20"/>
        </w:rPr>
        <w:t xml:space="preserve"> </w:t>
      </w:r>
      <w:r w:rsidRPr="00A37CDD">
        <w:rPr>
          <w:rFonts w:ascii="Georgia" w:hAnsi="Georgia"/>
          <w:b/>
          <w:i/>
          <w:color w:val="003366"/>
          <w:sz w:val="20"/>
          <w:szCs w:val="20"/>
        </w:rPr>
        <w:t>CEO,</w:t>
      </w:r>
      <w:r>
        <w:rPr>
          <w:rFonts w:ascii="Georgia" w:hAnsi="Georgia"/>
          <w:b/>
          <w:i/>
          <w:color w:val="003366"/>
          <w:sz w:val="20"/>
          <w:szCs w:val="20"/>
        </w:rPr>
        <w:t xml:space="preserve"> </w:t>
      </w:r>
      <w:r w:rsidRPr="00C118A2">
        <w:rPr>
          <w:rFonts w:ascii="Georgia" w:hAnsi="Georgia"/>
          <w:b/>
          <w:i/>
          <w:color w:val="003366"/>
          <w:sz w:val="20"/>
          <w:szCs w:val="20"/>
        </w:rPr>
        <w:t>CFO</w:t>
      </w:r>
      <w:r w:rsidRPr="00A37CDD">
        <w:rPr>
          <w:rFonts w:ascii="Georgia" w:hAnsi="Georgia"/>
          <w:b/>
          <w:i/>
          <w:color w:val="003366"/>
          <w:sz w:val="20"/>
          <w:szCs w:val="20"/>
        </w:rPr>
        <w:t>,</w:t>
      </w:r>
      <w:r>
        <w:rPr>
          <w:rFonts w:ascii="Georgia" w:hAnsi="Georgia"/>
          <w:b/>
          <w:i/>
          <w:color w:val="003366"/>
          <w:sz w:val="20"/>
          <w:szCs w:val="20"/>
        </w:rPr>
        <w:t xml:space="preserve"> </w:t>
      </w:r>
      <w:r w:rsidRPr="00A37CDD">
        <w:rPr>
          <w:rFonts w:ascii="Georgia" w:hAnsi="Georgia"/>
          <w:b/>
          <w:i/>
          <w:color w:val="003366"/>
          <w:sz w:val="20"/>
          <w:szCs w:val="20"/>
        </w:rPr>
        <w:t>Compliance</w:t>
      </w:r>
      <w:r>
        <w:rPr>
          <w:rFonts w:ascii="Georgia" w:hAnsi="Georgia"/>
          <w:b/>
          <w:i/>
          <w:color w:val="003366"/>
          <w:sz w:val="20"/>
          <w:szCs w:val="20"/>
        </w:rPr>
        <w:t xml:space="preserve"> </w:t>
      </w:r>
      <w:r w:rsidRPr="00A37CDD">
        <w:rPr>
          <w:rFonts w:ascii="Georgia" w:hAnsi="Georgia"/>
          <w:b/>
          <w:i/>
          <w:color w:val="003366"/>
          <w:sz w:val="20"/>
          <w:szCs w:val="20"/>
        </w:rPr>
        <w:t>Officer,</w:t>
      </w:r>
      <w:r>
        <w:rPr>
          <w:rFonts w:ascii="Georgia" w:hAnsi="Georgia"/>
          <w:b/>
          <w:i/>
          <w:color w:val="003366"/>
          <w:sz w:val="20"/>
          <w:szCs w:val="20"/>
        </w:rPr>
        <w:t xml:space="preserve"> </w:t>
      </w:r>
      <w:r w:rsidRPr="00A37CDD">
        <w:rPr>
          <w:rFonts w:ascii="Georgia" w:hAnsi="Georgia"/>
          <w:b/>
          <w:i/>
          <w:color w:val="003366"/>
          <w:sz w:val="20"/>
          <w:szCs w:val="20"/>
        </w:rPr>
        <w:t>and</w:t>
      </w:r>
      <w:r>
        <w:rPr>
          <w:rFonts w:ascii="Georgia" w:hAnsi="Georgia"/>
          <w:b/>
          <w:i/>
          <w:color w:val="003366"/>
          <w:sz w:val="20"/>
          <w:szCs w:val="20"/>
        </w:rPr>
        <w:t xml:space="preserve"> </w:t>
      </w:r>
      <w:r w:rsidRPr="00A37CDD">
        <w:rPr>
          <w:rFonts w:ascii="Georgia" w:hAnsi="Georgia"/>
          <w:b/>
          <w:i/>
          <w:color w:val="003366"/>
          <w:sz w:val="20"/>
          <w:szCs w:val="20"/>
        </w:rPr>
        <w:t>Operations</w:t>
      </w:r>
      <w:r>
        <w:rPr>
          <w:rFonts w:ascii="Georgia" w:hAnsi="Georgia"/>
          <w:b/>
          <w:i/>
          <w:color w:val="003366"/>
          <w:sz w:val="20"/>
          <w:szCs w:val="20"/>
        </w:rPr>
        <w:t xml:space="preserve"> </w:t>
      </w:r>
      <w:r w:rsidR="00DF6580">
        <w:rPr>
          <w:rFonts w:ascii="Georgia" w:hAnsi="Georgia"/>
          <w:b/>
          <w:i/>
          <w:color w:val="003366"/>
          <w:sz w:val="20"/>
          <w:szCs w:val="20"/>
        </w:rPr>
        <w:t>Officer.</w:t>
      </w:r>
    </w:p>
    <w:p w:rsidR="002A0C2F" w:rsidRDefault="002A0C2F" w:rsidP="00DF6580">
      <w:pPr>
        <w:rPr>
          <w:rFonts w:ascii="Georgia" w:hAnsi="Georgia"/>
          <w:b/>
          <w:i/>
          <w:color w:val="003366"/>
          <w:sz w:val="20"/>
          <w:szCs w:val="20"/>
        </w:rPr>
      </w:pPr>
    </w:p>
    <w:p w:rsidR="00F27B8F" w:rsidRDefault="00F27B8F" w:rsidP="00DF6580">
      <w:pPr>
        <w:rPr>
          <w:rFonts w:ascii="Georgia" w:hAnsi="Georgia"/>
          <w:b/>
          <w:i/>
          <w:color w:val="003366"/>
          <w:sz w:val="20"/>
          <w:szCs w:val="20"/>
        </w:rPr>
      </w:pPr>
    </w:p>
    <w:p w:rsidR="00571A10" w:rsidRPr="00285503" w:rsidRDefault="00571A10" w:rsidP="00571A10">
      <w:pPr>
        <w:pStyle w:val="Heading"/>
        <w:rPr>
          <w:b w:val="0"/>
          <w:i/>
          <w:color w:val="006600"/>
        </w:rPr>
      </w:pPr>
      <w:r w:rsidRPr="00285503">
        <w:rPr>
          <w:b w:val="0"/>
          <w:i/>
          <w:color w:val="006600"/>
        </w:rPr>
        <w:t>Selected final federal rule complianc</w:t>
      </w:r>
      <w:r w:rsidR="000E6A0E">
        <w:rPr>
          <w:b w:val="0"/>
          <w:i/>
          <w:color w:val="006600"/>
        </w:rPr>
        <w:t>e dates from the past 12 months</w:t>
      </w:r>
    </w:p>
    <w:p w:rsidR="00571A10" w:rsidRDefault="00571A10" w:rsidP="00571A10">
      <w:pPr>
        <w:rPr>
          <w:rFonts w:ascii="Helvetica" w:hAnsi="Helvetica"/>
          <w:sz w:val="16"/>
          <w:szCs w:val="16"/>
        </w:rPr>
      </w:pPr>
    </w:p>
    <w:p w:rsidR="00571A10" w:rsidRDefault="00571A10" w:rsidP="00571A10">
      <w:pPr>
        <w:rPr>
          <w:rFonts w:ascii="Georgia" w:hAnsi="Georgia"/>
          <w:b/>
          <w:i/>
          <w:color w:val="003366"/>
          <w:sz w:val="20"/>
          <w:szCs w:val="20"/>
        </w:rPr>
      </w:pPr>
      <w:r w:rsidRPr="00C118A2">
        <w:rPr>
          <w:rFonts w:ascii="Georgia" w:hAnsi="Georgia"/>
          <w:b/>
          <w:i/>
          <w:color w:val="003366"/>
          <w:sz w:val="20"/>
          <w:szCs w:val="20"/>
        </w:rPr>
        <w:lastRenderedPageBreak/>
        <w:t>Our</w:t>
      </w:r>
      <w:r>
        <w:rPr>
          <w:rFonts w:ascii="Georgia" w:hAnsi="Georgia"/>
          <w:b/>
          <w:i/>
          <w:color w:val="003366"/>
          <w:sz w:val="20"/>
          <w:szCs w:val="20"/>
        </w:rPr>
        <w:t xml:space="preserve"> </w:t>
      </w:r>
      <w:r w:rsidRPr="00C118A2">
        <w:rPr>
          <w:rFonts w:ascii="Georgia" w:hAnsi="Georgia"/>
          <w:b/>
          <w:i/>
          <w:color w:val="003366"/>
          <w:sz w:val="20"/>
          <w:szCs w:val="20"/>
        </w:rPr>
        <w:t>list</w:t>
      </w:r>
      <w:r>
        <w:rPr>
          <w:rFonts w:ascii="Georgia" w:hAnsi="Georgia"/>
          <w:b/>
          <w:i/>
          <w:color w:val="003366"/>
          <w:sz w:val="20"/>
          <w:szCs w:val="20"/>
        </w:rPr>
        <w:t xml:space="preserve"> </w:t>
      </w:r>
      <w:r w:rsidRPr="00C118A2">
        <w:rPr>
          <w:rFonts w:ascii="Georgia" w:hAnsi="Georgia"/>
          <w:b/>
          <w:i/>
          <w:color w:val="003366"/>
          <w:sz w:val="20"/>
          <w:szCs w:val="20"/>
        </w:rPr>
        <w:t>of</w:t>
      </w:r>
      <w:r>
        <w:rPr>
          <w:rFonts w:ascii="Georgia" w:hAnsi="Georgia"/>
          <w:b/>
          <w:i/>
          <w:color w:val="003366"/>
          <w:sz w:val="20"/>
          <w:szCs w:val="20"/>
        </w:rPr>
        <w:t xml:space="preserve"> </w:t>
      </w:r>
      <w:r w:rsidRPr="00C118A2">
        <w:rPr>
          <w:rFonts w:ascii="Georgia" w:hAnsi="Georgia"/>
          <w:b/>
          <w:i/>
          <w:color w:val="003366"/>
          <w:sz w:val="20"/>
          <w:szCs w:val="20"/>
        </w:rPr>
        <w:t>past</w:t>
      </w:r>
      <w:r>
        <w:rPr>
          <w:rFonts w:ascii="Georgia" w:hAnsi="Georgia"/>
          <w:b/>
          <w:i/>
          <w:color w:val="003366"/>
          <w:sz w:val="20"/>
          <w:szCs w:val="20"/>
        </w:rPr>
        <w:t xml:space="preserve"> </w:t>
      </w:r>
      <w:r w:rsidRPr="00C118A2">
        <w:rPr>
          <w:rFonts w:ascii="Georgia" w:hAnsi="Georgia"/>
          <w:b/>
          <w:i/>
          <w:color w:val="003366"/>
          <w:sz w:val="20"/>
          <w:szCs w:val="20"/>
        </w:rPr>
        <w:t>final</w:t>
      </w:r>
      <w:r>
        <w:rPr>
          <w:rFonts w:ascii="Georgia" w:hAnsi="Georgia"/>
          <w:b/>
          <w:i/>
          <w:color w:val="003366"/>
          <w:sz w:val="20"/>
          <w:szCs w:val="20"/>
        </w:rPr>
        <w:t xml:space="preserve"> </w:t>
      </w:r>
      <w:r w:rsidRPr="00C118A2">
        <w:rPr>
          <w:rFonts w:ascii="Georgia" w:hAnsi="Georgia"/>
          <w:b/>
          <w:i/>
          <w:color w:val="003366"/>
          <w:sz w:val="20"/>
          <w:szCs w:val="20"/>
        </w:rPr>
        <w:t>rule</w:t>
      </w:r>
      <w:r>
        <w:rPr>
          <w:rFonts w:ascii="Georgia" w:hAnsi="Georgia"/>
          <w:b/>
          <w:i/>
          <w:color w:val="003366"/>
          <w:sz w:val="20"/>
          <w:szCs w:val="20"/>
        </w:rPr>
        <w:t xml:space="preserve"> </w:t>
      </w:r>
      <w:r w:rsidRPr="00C118A2">
        <w:rPr>
          <w:rFonts w:ascii="Georgia" w:hAnsi="Georgia"/>
          <w:b/>
          <w:i/>
          <w:color w:val="003366"/>
          <w:sz w:val="20"/>
          <w:szCs w:val="20"/>
        </w:rPr>
        <w:t>effective</w:t>
      </w:r>
      <w:r>
        <w:rPr>
          <w:rFonts w:ascii="Georgia" w:hAnsi="Georgia"/>
          <w:b/>
          <w:i/>
          <w:color w:val="003366"/>
          <w:sz w:val="20"/>
          <w:szCs w:val="20"/>
        </w:rPr>
        <w:t xml:space="preserve"> </w:t>
      </w:r>
      <w:r w:rsidRPr="00C118A2">
        <w:rPr>
          <w:rFonts w:ascii="Georgia" w:hAnsi="Georgia"/>
          <w:b/>
          <w:i/>
          <w:color w:val="003366"/>
          <w:sz w:val="20"/>
          <w:szCs w:val="20"/>
        </w:rPr>
        <w:t>dates</w:t>
      </w:r>
      <w:r>
        <w:rPr>
          <w:rFonts w:ascii="Georgia" w:hAnsi="Georgia"/>
          <w:b/>
          <w:i/>
          <w:color w:val="003366"/>
          <w:sz w:val="20"/>
          <w:szCs w:val="20"/>
        </w:rPr>
        <w:t xml:space="preserve"> </w:t>
      </w:r>
      <w:r w:rsidRPr="00C118A2">
        <w:rPr>
          <w:rFonts w:ascii="Georgia" w:hAnsi="Georgia"/>
          <w:b/>
          <w:i/>
          <w:color w:val="003366"/>
          <w:sz w:val="20"/>
          <w:szCs w:val="20"/>
        </w:rPr>
        <w:t>is</w:t>
      </w:r>
      <w:r>
        <w:rPr>
          <w:rFonts w:ascii="Georgia" w:hAnsi="Georgia"/>
          <w:b/>
          <w:i/>
          <w:color w:val="003366"/>
          <w:sz w:val="20"/>
          <w:szCs w:val="20"/>
        </w:rPr>
        <w:t xml:space="preserve"> </w:t>
      </w:r>
      <w:r w:rsidRPr="00C118A2">
        <w:rPr>
          <w:rFonts w:ascii="Georgia" w:hAnsi="Georgia"/>
          <w:b/>
          <w:i/>
          <w:color w:val="003366"/>
          <w:sz w:val="20"/>
          <w:szCs w:val="20"/>
        </w:rPr>
        <w:t>limited</w:t>
      </w:r>
      <w:r>
        <w:rPr>
          <w:rFonts w:ascii="Georgia" w:hAnsi="Georgia"/>
          <w:b/>
          <w:i/>
          <w:color w:val="003366"/>
          <w:sz w:val="20"/>
          <w:szCs w:val="20"/>
        </w:rPr>
        <w:t xml:space="preserve"> </w:t>
      </w:r>
      <w:r w:rsidRPr="00C118A2">
        <w:rPr>
          <w:rFonts w:ascii="Georgia" w:hAnsi="Georgia"/>
          <w:b/>
          <w:i/>
          <w:color w:val="003366"/>
          <w:sz w:val="20"/>
          <w:szCs w:val="20"/>
        </w:rPr>
        <w:t>to</w:t>
      </w:r>
      <w:r>
        <w:rPr>
          <w:rFonts w:ascii="Georgia" w:hAnsi="Georgia"/>
          <w:b/>
          <w:i/>
          <w:color w:val="003366"/>
          <w:sz w:val="20"/>
          <w:szCs w:val="20"/>
        </w:rPr>
        <w:t xml:space="preserve"> </w:t>
      </w:r>
      <w:r w:rsidRPr="00C118A2">
        <w:rPr>
          <w:rFonts w:ascii="Georgia" w:hAnsi="Georgia"/>
          <w:b/>
          <w:i/>
          <w:color w:val="003366"/>
          <w:sz w:val="20"/>
          <w:szCs w:val="20"/>
        </w:rPr>
        <w:t>12</w:t>
      </w:r>
      <w:r>
        <w:rPr>
          <w:rFonts w:ascii="Georgia" w:hAnsi="Georgia"/>
          <w:b/>
          <w:i/>
          <w:color w:val="003366"/>
          <w:sz w:val="20"/>
          <w:szCs w:val="20"/>
        </w:rPr>
        <w:t xml:space="preserve"> </w:t>
      </w:r>
      <w:r w:rsidRPr="00C118A2">
        <w:rPr>
          <w:rFonts w:ascii="Georgia" w:hAnsi="Georgia"/>
          <w:b/>
          <w:i/>
          <w:color w:val="003366"/>
          <w:sz w:val="20"/>
          <w:szCs w:val="20"/>
        </w:rPr>
        <w:t>months.</w:t>
      </w:r>
      <w:r>
        <w:rPr>
          <w:rFonts w:ascii="Georgia" w:hAnsi="Georgia"/>
          <w:b/>
          <w:i/>
          <w:color w:val="003366"/>
          <w:sz w:val="20"/>
          <w:szCs w:val="20"/>
        </w:rPr>
        <w:t xml:space="preserve"> </w:t>
      </w:r>
      <w:r w:rsidRPr="00C118A2">
        <w:rPr>
          <w:rFonts w:ascii="Georgia" w:hAnsi="Georgia"/>
          <w:b/>
          <w:i/>
          <w:color w:val="003366"/>
          <w:sz w:val="20"/>
          <w:szCs w:val="20"/>
        </w:rPr>
        <w:t>To</w:t>
      </w:r>
      <w:r>
        <w:rPr>
          <w:rFonts w:ascii="Georgia" w:hAnsi="Georgia"/>
          <w:b/>
          <w:i/>
          <w:color w:val="003366"/>
          <w:sz w:val="20"/>
          <w:szCs w:val="20"/>
        </w:rPr>
        <w:t xml:space="preserve"> see the document “Selected Past Final Federal Rules,” containing </w:t>
      </w:r>
      <w:r w:rsidR="004C6990">
        <w:rPr>
          <w:rFonts w:ascii="Georgia" w:hAnsi="Georgia"/>
          <w:b/>
          <w:i/>
          <w:color w:val="003366"/>
          <w:sz w:val="20"/>
          <w:szCs w:val="20"/>
        </w:rPr>
        <w:t>future and past selected final rules</w:t>
      </w:r>
      <w:r w:rsidRPr="00C118A2">
        <w:rPr>
          <w:rFonts w:ascii="Georgia" w:hAnsi="Georgia"/>
          <w:b/>
          <w:i/>
          <w:color w:val="003366"/>
          <w:sz w:val="20"/>
          <w:szCs w:val="20"/>
        </w:rPr>
        <w:t>,</w:t>
      </w:r>
      <w:r>
        <w:rPr>
          <w:rFonts w:ascii="Georgia" w:hAnsi="Georgia"/>
          <w:b/>
          <w:i/>
          <w:color w:val="003366"/>
          <w:sz w:val="20"/>
          <w:szCs w:val="20"/>
        </w:rPr>
        <w:t xml:space="preserve"> click </w:t>
      </w:r>
      <w:hyperlink r:id="rId76" w:history="1">
        <w:r w:rsidRPr="00797FD6">
          <w:rPr>
            <w:rStyle w:val="Hyperlink"/>
            <w:rFonts w:ascii="Georgia" w:hAnsi="Georgia"/>
            <w:b/>
            <w:i/>
            <w:sz w:val="20"/>
            <w:szCs w:val="20"/>
          </w:rPr>
          <w:t>here</w:t>
        </w:r>
      </w:hyperlink>
      <w:r w:rsidRPr="00C118A2">
        <w:rPr>
          <w:rFonts w:ascii="Georgia" w:hAnsi="Georgia"/>
          <w:b/>
          <w:i/>
          <w:color w:val="003366"/>
          <w:sz w:val="20"/>
          <w:szCs w:val="20"/>
        </w:rPr>
        <w:t>.</w:t>
      </w:r>
    </w:p>
    <w:p w:rsidR="00D53155" w:rsidRDefault="00D53155" w:rsidP="00D53155">
      <w:pPr>
        <w:spacing w:before="100" w:beforeAutospacing="1" w:after="100" w:afterAutospacing="1"/>
        <w:ind w:left="1440" w:hanging="1440"/>
        <w:rPr>
          <w:rFonts w:ascii="Georgia" w:hAnsi="Georgia"/>
          <w:sz w:val="18"/>
          <w:szCs w:val="18"/>
        </w:rPr>
      </w:pPr>
      <w:r>
        <w:rPr>
          <w:rFonts w:ascii="Georgia" w:hAnsi="Georgia"/>
          <w:sz w:val="18"/>
          <w:szCs w:val="18"/>
        </w:rPr>
        <w:t>07.01.2014</w:t>
      </w:r>
      <w:r>
        <w:rPr>
          <w:rFonts w:ascii="Georgia" w:hAnsi="Georgia"/>
          <w:sz w:val="18"/>
          <w:szCs w:val="18"/>
        </w:rPr>
        <w:tab/>
        <w:t xml:space="preserve">Foreign Tax Compliance Act. FATCA targets noncompliance by U.S. citizens of tax obligations using foreign accounts. FATCA seeks information on accounts held in other countries by U.S. taxpayers. Governments can either permit their Foreign Financial Institutions to entire into agreements with the IRS to provide information or they can enter into one of two alternative Model Intergovernmental Agreements with the U.S. Treasury’s </w:t>
      </w:r>
      <w:hyperlink r:id="rId77" w:history="1">
        <w:r>
          <w:rPr>
            <w:rStyle w:val="Hyperlink"/>
            <w:rFonts w:ascii="Georgia" w:hAnsi="Georgia"/>
            <w:sz w:val="18"/>
            <w:szCs w:val="18"/>
          </w:rPr>
          <w:t>FATCA page</w:t>
        </w:r>
      </w:hyperlink>
      <w:r>
        <w:rPr>
          <w:rStyle w:val="EndnoteReference"/>
          <w:rFonts w:ascii="Georgia" w:hAnsi="Georgia"/>
          <w:sz w:val="18"/>
          <w:szCs w:val="18"/>
        </w:rPr>
        <w:endnoteReference w:id="46"/>
      </w:r>
      <w:r>
        <w:rPr>
          <w:rFonts w:ascii="Georgia" w:hAnsi="Georgia"/>
          <w:sz w:val="18"/>
          <w:szCs w:val="18"/>
        </w:rPr>
        <w:t xml:space="preserve">. </w:t>
      </w:r>
      <w:hyperlink r:id="rId78" w:history="1">
        <w:r>
          <w:rPr>
            <w:rStyle w:val="Hyperlink"/>
            <w:rFonts w:ascii="Georgia" w:hAnsi="Georgia"/>
            <w:sz w:val="18"/>
            <w:szCs w:val="18"/>
          </w:rPr>
          <w:t>List of FATCA agreements in effect</w:t>
        </w:r>
      </w:hyperlink>
      <w:r>
        <w:rPr>
          <w:rFonts w:ascii="Georgia" w:hAnsi="Georgia"/>
          <w:sz w:val="18"/>
          <w:szCs w:val="18"/>
        </w:rPr>
        <w:t>.</w:t>
      </w:r>
      <w:r>
        <w:rPr>
          <w:rStyle w:val="EndnoteReference"/>
          <w:rFonts w:ascii="Georgia" w:hAnsi="Georgia"/>
          <w:sz w:val="18"/>
          <w:szCs w:val="18"/>
        </w:rPr>
        <w:endnoteReference w:id="47"/>
      </w:r>
    </w:p>
    <w:p w:rsidR="00D53155" w:rsidRPr="007560F8" w:rsidRDefault="00D53155" w:rsidP="00D53155">
      <w:pPr>
        <w:spacing w:before="100" w:beforeAutospacing="1" w:after="100" w:afterAutospacing="1"/>
        <w:ind w:left="1440" w:hanging="1440"/>
        <w:rPr>
          <w:rFonts w:ascii="Georgia" w:hAnsi="Georgia"/>
          <w:b/>
          <w:i/>
          <w:color w:val="003366"/>
          <w:sz w:val="18"/>
          <w:szCs w:val="18"/>
        </w:rPr>
      </w:pPr>
      <w:r>
        <w:rPr>
          <w:rFonts w:ascii="Georgia" w:hAnsi="Georgia"/>
          <w:sz w:val="18"/>
          <w:szCs w:val="18"/>
        </w:rPr>
        <w:tab/>
      </w:r>
      <w:r w:rsidRPr="007560F8">
        <w:rPr>
          <w:rFonts w:ascii="Georgia" w:hAnsi="Georgia"/>
          <w:b/>
          <w:i/>
          <w:color w:val="003366"/>
          <w:sz w:val="18"/>
          <w:szCs w:val="18"/>
        </w:rPr>
        <w:t>Comment: U.S. entities, both financial and non-financial, that make payments of most types of U.S. source income to non-U.S. persons will also be impacted as they may now be required to withhold a 30% tax on that income paid to a non-U.S. person under FA</w:t>
      </w:r>
      <w:r>
        <w:rPr>
          <w:rFonts w:ascii="Georgia" w:hAnsi="Georgia"/>
          <w:b/>
          <w:i/>
          <w:color w:val="003366"/>
          <w:sz w:val="18"/>
          <w:szCs w:val="18"/>
        </w:rPr>
        <w:t xml:space="preserve">TCA. This will require the U.S. </w:t>
      </w:r>
      <w:r w:rsidRPr="007560F8">
        <w:rPr>
          <w:rFonts w:ascii="Georgia" w:hAnsi="Georgia"/>
          <w:b/>
          <w:i/>
          <w:color w:val="003366"/>
          <w:sz w:val="18"/>
          <w:szCs w:val="18"/>
        </w:rPr>
        <w:t>entities to maintain documentation on those non-U.S. persons a</w:t>
      </w:r>
      <w:r>
        <w:rPr>
          <w:rFonts w:ascii="Georgia" w:hAnsi="Georgia"/>
          <w:b/>
          <w:i/>
          <w:color w:val="003366"/>
          <w:sz w:val="18"/>
          <w:szCs w:val="18"/>
        </w:rPr>
        <w:t>nd also track how those persons are classified under FATCA. If you believe your institution may be impacted, contact your bank’s CPA.</w:t>
      </w:r>
    </w:p>
    <w:p w:rsidR="00D53155" w:rsidRDefault="00D53155" w:rsidP="00606228">
      <w:pPr>
        <w:ind w:left="1440" w:hanging="1440"/>
        <w:rPr>
          <w:rFonts w:ascii="Georgia" w:hAnsi="Georgia"/>
          <w:sz w:val="18"/>
          <w:szCs w:val="18"/>
        </w:rPr>
      </w:pPr>
    </w:p>
    <w:p w:rsidR="00627676" w:rsidRDefault="00627676" w:rsidP="00627676">
      <w:pPr>
        <w:ind w:left="1440" w:hanging="1440"/>
      </w:pPr>
      <w:r>
        <w:rPr>
          <w:rFonts w:ascii="Georgia" w:hAnsi="Georgia"/>
          <w:sz w:val="18"/>
          <w:szCs w:val="18"/>
        </w:rPr>
        <w:t>04.01.2014</w:t>
      </w:r>
      <w:r>
        <w:rPr>
          <w:rFonts w:ascii="Georgia" w:hAnsi="Georgia"/>
          <w:sz w:val="18"/>
          <w:szCs w:val="18"/>
        </w:rPr>
        <w:tab/>
      </w:r>
      <w:hyperlink r:id="rId79" w:history="1">
        <w:r>
          <w:rPr>
            <w:rStyle w:val="Hyperlink"/>
            <w:rFonts w:ascii="Georgia" w:hAnsi="Georgia"/>
            <w:sz w:val="18"/>
            <w:szCs w:val="18"/>
          </w:rPr>
          <w:t>Treatment of Certain Collateralized Debt Obligations Backed Primarily by Trust  Preferred Securities with Regard to Prohibitions and Restrictions on Certain Interests in, and Relationships with, Hedge Funds and Private Equity Funds (TruPs Amendment to Volcker Rule)</w:t>
        </w:r>
      </w:hyperlink>
      <w:r>
        <w:rPr>
          <w:rStyle w:val="EndnoteReference"/>
          <w:rFonts w:ascii="Georgia" w:hAnsi="Georgia"/>
          <w:sz w:val="18"/>
          <w:szCs w:val="18"/>
        </w:rPr>
        <w:endnoteReference w:id="48"/>
      </w:r>
      <w:r>
        <w:rPr>
          <w:rFonts w:ascii="Georgia" w:hAnsi="Georgia"/>
          <w:sz w:val="18"/>
          <w:szCs w:val="18"/>
        </w:rPr>
        <w:t xml:space="preserve"> The OCC, Board, FDIC, CFTC and SEC are each adopting a common interim final rule that would permit banking entities to retain investments in certain pooled investment vehicles that invested their offering proceeds primarily in certain securities issued by community banking organizations of the type grandfathered under section 171 of the Dodd - Frank Wall Street Reform and Consumer Protection Act (“Dodd - Frank Act”). The interim final rule is a companion rule to the final rules  adopted by the Agencies to implement section 13 of the Bank Holding Company Act of 1956 (“BHC Act”) , which was added by section 619 of the Dodd-Frank Act </w:t>
      </w:r>
    </w:p>
    <w:p w:rsidR="00627676" w:rsidRPr="00CC275D" w:rsidRDefault="00627676" w:rsidP="00627676">
      <w:pPr>
        <w:ind w:left="1440" w:right="99" w:hanging="1440"/>
        <w:textAlignment w:val="baseline"/>
        <w:rPr>
          <w:rFonts w:ascii="Georgia" w:hAnsi="Georgia"/>
          <w:sz w:val="18"/>
          <w:szCs w:val="18"/>
        </w:rPr>
      </w:pPr>
    </w:p>
    <w:p w:rsidR="00627676" w:rsidRPr="00CC275D" w:rsidRDefault="00627676" w:rsidP="00627676">
      <w:pPr>
        <w:ind w:right="99"/>
        <w:textAlignment w:val="baseline"/>
        <w:rPr>
          <w:rFonts w:ascii="Georgia" w:hAnsi="Georgia"/>
          <w:sz w:val="18"/>
          <w:szCs w:val="18"/>
        </w:rPr>
      </w:pPr>
    </w:p>
    <w:p w:rsidR="00627676" w:rsidRDefault="00627676" w:rsidP="00627676">
      <w:pPr>
        <w:ind w:left="1440" w:hanging="1440"/>
      </w:pPr>
      <w:r>
        <w:rPr>
          <w:rFonts w:ascii="Georgia" w:hAnsi="Georgia"/>
          <w:sz w:val="18"/>
          <w:szCs w:val="18"/>
        </w:rPr>
        <w:t>04.01.2014</w:t>
      </w:r>
      <w:r>
        <w:rPr>
          <w:rFonts w:ascii="Georgia" w:hAnsi="Georgia"/>
          <w:sz w:val="18"/>
          <w:szCs w:val="18"/>
        </w:rPr>
        <w:tab/>
      </w:r>
      <w:hyperlink r:id="rId80" w:history="1">
        <w:r w:rsidRPr="006F57E5">
          <w:rPr>
            <w:rStyle w:val="Hyperlink"/>
            <w:rFonts w:ascii="Georgia" w:hAnsi="Georgia"/>
            <w:sz w:val="18"/>
            <w:szCs w:val="18"/>
          </w:rPr>
          <w:t>OCC, Fed, FDIC, and SEC: Prohibitions and Restrictions on Proprietary Trading and Certain Interests in, and Relationships with, Hedge Funds and Private Equity Funds (the Volcker Rule)</w:t>
        </w:r>
      </w:hyperlink>
      <w:r w:rsidRPr="006F57E5">
        <w:rPr>
          <w:rFonts w:ascii="Georgia" w:hAnsi="Georgia"/>
          <w:sz w:val="18"/>
          <w:szCs w:val="18"/>
        </w:rPr>
        <w:t xml:space="preserve"> </w:t>
      </w:r>
      <w:r w:rsidRPr="006F57E5">
        <w:rPr>
          <w:rStyle w:val="EndnoteReference"/>
          <w:rFonts w:ascii="Georgia" w:hAnsi="Georgia"/>
          <w:sz w:val="18"/>
          <w:szCs w:val="18"/>
        </w:rPr>
        <w:endnoteReference w:id="49"/>
      </w:r>
      <w:r w:rsidRPr="00CC275D">
        <w:rPr>
          <w:rFonts w:ascii="Georgia" w:hAnsi="Georgia"/>
          <w:b/>
          <w:sz w:val="18"/>
          <w:szCs w:val="18"/>
        </w:rPr>
        <w:t xml:space="preserve"> </w:t>
      </w:r>
      <w:r>
        <w:rPr>
          <w:rFonts w:ascii="Georgia" w:hAnsi="Georgia"/>
          <w:sz w:val="18"/>
          <w:szCs w:val="18"/>
        </w:rPr>
        <w:t>The Agencies</w:t>
      </w:r>
      <w:r w:rsidRPr="00CC275D">
        <w:rPr>
          <w:rFonts w:ascii="Georgia" w:hAnsi="Georgia"/>
          <w:sz w:val="18"/>
          <w:szCs w:val="18"/>
        </w:rPr>
        <w:t xml:space="preserve"> </w:t>
      </w:r>
      <w:r>
        <w:rPr>
          <w:rFonts w:ascii="Georgia" w:hAnsi="Georgia"/>
          <w:sz w:val="18"/>
          <w:szCs w:val="18"/>
        </w:rPr>
        <w:t>adopted</w:t>
      </w:r>
      <w:r w:rsidRPr="00CC275D">
        <w:rPr>
          <w:rFonts w:ascii="Georgia" w:hAnsi="Georgia"/>
          <w:sz w:val="18"/>
          <w:szCs w:val="18"/>
        </w:rPr>
        <w:t xml:space="preserve"> a rule that would implement section 13 of the BHC Act, which was added by section 619 of the </w:t>
      </w:r>
      <w:r>
        <w:rPr>
          <w:rFonts w:ascii="Georgia" w:hAnsi="Georgia"/>
          <w:sz w:val="18"/>
          <w:szCs w:val="18"/>
        </w:rPr>
        <w:t>Dodd-Frank Act.”</w:t>
      </w:r>
      <w:r w:rsidRPr="00CC275D">
        <w:rPr>
          <w:rFonts w:ascii="Georgia" w:hAnsi="Georgia"/>
          <w:sz w:val="18"/>
          <w:szCs w:val="18"/>
        </w:rPr>
        <w:t xml:space="preserve"> Section 13 contains certain prohibitions and restrictions on the ability of a banking entity and nonbank financial company supervised by the Board to engage in proprietary trading and have certain interests in, or relationships with, a hedge fund or private equity fund. </w:t>
      </w:r>
      <w:hyperlink r:id="rId81" w:tgtFrame="_self" w:history="1">
        <w:r w:rsidRPr="00CC275D">
          <w:rPr>
            <w:rStyle w:val="Hyperlink"/>
            <w:rFonts w:ascii="Georgia" w:hAnsi="Georgia"/>
            <w:sz w:val="18"/>
            <w:szCs w:val="18"/>
          </w:rPr>
          <w:t xml:space="preserve">Statement by Chairman Ben S. </w:t>
        </w:r>
        <w:proofErr w:type="spellStart"/>
        <w:r w:rsidRPr="00CC275D">
          <w:rPr>
            <w:rStyle w:val="Hyperlink"/>
            <w:rFonts w:ascii="Georgia" w:hAnsi="Georgia"/>
            <w:sz w:val="18"/>
            <w:szCs w:val="18"/>
          </w:rPr>
          <w:t>Bernanke</w:t>
        </w:r>
      </w:hyperlink>
      <w:r>
        <w:rPr>
          <w:rFonts w:ascii="Georgia" w:hAnsi="Georgia"/>
          <w:sz w:val="18"/>
          <w:szCs w:val="18"/>
        </w:rPr>
        <w:t>.</w:t>
      </w:r>
      <w:hyperlink r:id="rId82" w:tgtFrame="_self" w:history="1">
        <w:r w:rsidRPr="00CC275D">
          <w:rPr>
            <w:rStyle w:val="Hyperlink"/>
            <w:rFonts w:ascii="Georgia" w:hAnsi="Georgia"/>
            <w:sz w:val="18"/>
            <w:szCs w:val="18"/>
          </w:rPr>
          <w:t>Statement</w:t>
        </w:r>
        <w:proofErr w:type="spellEnd"/>
        <w:r w:rsidRPr="00CC275D">
          <w:rPr>
            <w:rStyle w:val="Hyperlink"/>
            <w:rFonts w:ascii="Georgia" w:hAnsi="Georgia"/>
            <w:sz w:val="18"/>
            <w:szCs w:val="18"/>
          </w:rPr>
          <w:t xml:space="preserve"> by Governor Daniel K. </w:t>
        </w:r>
        <w:proofErr w:type="spellStart"/>
        <w:r w:rsidRPr="00CC275D">
          <w:rPr>
            <w:rStyle w:val="Hyperlink"/>
            <w:rFonts w:ascii="Georgia" w:hAnsi="Georgia"/>
            <w:sz w:val="18"/>
            <w:szCs w:val="18"/>
          </w:rPr>
          <w:t>Tarullo</w:t>
        </w:r>
        <w:proofErr w:type="spellEnd"/>
      </w:hyperlink>
      <w:r>
        <w:rPr>
          <w:rFonts w:ascii="Georgia" w:hAnsi="Georgia"/>
          <w:sz w:val="18"/>
          <w:szCs w:val="18"/>
        </w:rPr>
        <w:t xml:space="preserve">. </w:t>
      </w:r>
      <w:hyperlink r:id="rId83" w:tgtFrame="_self" w:history="1">
        <w:r w:rsidRPr="00CC275D">
          <w:rPr>
            <w:rStyle w:val="Hyperlink"/>
            <w:rFonts w:ascii="Georgia" w:hAnsi="Georgia"/>
            <w:sz w:val="18"/>
            <w:szCs w:val="18"/>
          </w:rPr>
          <w:t>Final Rule - Preamble (7.2 MB PDF)</w:t>
        </w:r>
      </w:hyperlink>
      <w:r>
        <w:rPr>
          <w:rFonts w:ascii="Georgia" w:hAnsi="Georgia"/>
          <w:sz w:val="18"/>
          <w:szCs w:val="18"/>
        </w:rPr>
        <w:t xml:space="preserve">. </w:t>
      </w:r>
      <w:hyperlink r:id="rId84" w:tgtFrame="_self" w:history="1">
        <w:r w:rsidRPr="00CC275D">
          <w:rPr>
            <w:rStyle w:val="Hyperlink"/>
            <w:rFonts w:ascii="Georgia" w:hAnsi="Georgia"/>
            <w:sz w:val="18"/>
            <w:szCs w:val="18"/>
          </w:rPr>
          <w:t>Fact Sheet (PDF)</w:t>
        </w:r>
      </w:hyperlink>
      <w:r>
        <w:rPr>
          <w:rFonts w:ascii="Georgia" w:hAnsi="Georgia"/>
          <w:sz w:val="18"/>
          <w:szCs w:val="18"/>
        </w:rPr>
        <w:t xml:space="preserve">. </w:t>
      </w:r>
      <w:hyperlink r:id="rId85" w:tgtFrame="_self" w:history="1">
        <w:r w:rsidRPr="00CC275D">
          <w:rPr>
            <w:rStyle w:val="Hyperlink"/>
            <w:rFonts w:ascii="Georgia" w:hAnsi="Georgia"/>
            <w:sz w:val="18"/>
            <w:szCs w:val="18"/>
          </w:rPr>
          <w:t>Community Bank Guide (PDF)</w:t>
        </w:r>
      </w:hyperlink>
      <w:r>
        <w:rPr>
          <w:rFonts w:ascii="Georgia" w:hAnsi="Georgia"/>
          <w:sz w:val="18"/>
          <w:szCs w:val="18"/>
        </w:rPr>
        <w:t>.</w:t>
      </w:r>
    </w:p>
    <w:p w:rsidR="00627676" w:rsidRDefault="00627676" w:rsidP="007763A3">
      <w:pPr>
        <w:ind w:left="1440" w:hanging="1440"/>
        <w:rPr>
          <w:rFonts w:ascii="Georgia" w:hAnsi="Georgia"/>
          <w:sz w:val="18"/>
          <w:szCs w:val="18"/>
        </w:rPr>
      </w:pPr>
    </w:p>
    <w:p w:rsidR="00627676" w:rsidRDefault="00627676" w:rsidP="007763A3">
      <w:pPr>
        <w:ind w:left="1440" w:hanging="1440"/>
        <w:rPr>
          <w:rFonts w:ascii="Georgia" w:hAnsi="Georgia"/>
          <w:sz w:val="18"/>
          <w:szCs w:val="18"/>
        </w:rPr>
      </w:pPr>
    </w:p>
    <w:p w:rsidR="007763A3" w:rsidRDefault="007763A3" w:rsidP="007763A3">
      <w:pPr>
        <w:ind w:left="1440" w:hanging="1440"/>
        <w:rPr>
          <w:rFonts w:ascii="Georgia" w:hAnsi="Georgia"/>
        </w:rPr>
      </w:pPr>
      <w:r>
        <w:rPr>
          <w:rFonts w:ascii="Georgia" w:hAnsi="Georgia"/>
          <w:sz w:val="18"/>
          <w:szCs w:val="18"/>
        </w:rPr>
        <w:t>03.31.2014</w:t>
      </w:r>
      <w:r>
        <w:rPr>
          <w:rFonts w:ascii="Georgia" w:hAnsi="Georgia"/>
          <w:sz w:val="18"/>
          <w:szCs w:val="18"/>
        </w:rPr>
        <w:tab/>
      </w:r>
      <w:hyperlink r:id="rId86" w:history="1">
        <w:r w:rsidRPr="007763A3">
          <w:rPr>
            <w:rStyle w:val="Hyperlink"/>
            <w:rFonts w:ascii="Georgia" w:hAnsi="Georgia"/>
            <w:sz w:val="18"/>
            <w:szCs w:val="18"/>
          </w:rPr>
          <w:t>Basel III Conforming Amendments Related to the Cross-References, Subordinated Debt, and Limits Based on Regulatory Capital</w:t>
        </w:r>
      </w:hyperlink>
      <w:r w:rsidRPr="007763A3">
        <w:rPr>
          <w:rFonts w:ascii="Georgia" w:hAnsi="Georgia"/>
          <w:sz w:val="18"/>
          <w:szCs w:val="18"/>
        </w:rPr>
        <w:t xml:space="preserve"> The OCC issued an interim final rule with request for comments (final rule) that makes technical and conforming amendments to its regulations governing national banks and federal savings associations. The final rule amends various regulations in order to make those regulations consistent with the recently adopted Basel III Capital Framework. The Basel III final rule revised the OCC's regulatory capital rules, adding a new common equity tier 1 requirement, revising the definitions of tier 1 and tier 2 capital, and integrating federal savings associations into 12 CFR part 3 and 12 CFR part 6 (Prompt Corrective Action). The final rule makes technical, clarifying, and conforming amendments to the OCC's rules, by providing cross-references to new capital rules, where necessary, and deleting obsolete references. The final rule also makes changes to subordinated debt rules to clarify the requirements subordinated debt must meet and the procedures required to issue and redeem subordinated debt. EFFECTIVE DATE: March 31, 2014. Comments must be received by March 31, 2014.</w:t>
      </w:r>
    </w:p>
    <w:p w:rsidR="007763A3" w:rsidRDefault="007763A3" w:rsidP="002B241E">
      <w:pPr>
        <w:ind w:left="1440" w:right="99" w:hanging="1440"/>
        <w:textAlignment w:val="baseline"/>
        <w:rPr>
          <w:rFonts w:ascii="Georgia" w:hAnsi="Georgia"/>
          <w:sz w:val="18"/>
          <w:szCs w:val="18"/>
        </w:rPr>
      </w:pPr>
    </w:p>
    <w:p w:rsidR="00606228" w:rsidRDefault="00606228" w:rsidP="002B241E">
      <w:pPr>
        <w:ind w:left="1440" w:right="99" w:hanging="1440"/>
        <w:textAlignment w:val="baseline"/>
      </w:pPr>
      <w:r>
        <w:rPr>
          <w:rFonts w:ascii="Georgia" w:hAnsi="Georgia"/>
          <w:sz w:val="18"/>
          <w:szCs w:val="18"/>
        </w:rPr>
        <w:t>01.18</w:t>
      </w:r>
      <w:r w:rsidRPr="00CC275D">
        <w:rPr>
          <w:rFonts w:ascii="Georgia" w:hAnsi="Georgia"/>
          <w:sz w:val="18"/>
          <w:szCs w:val="18"/>
        </w:rPr>
        <w:t>.201</w:t>
      </w:r>
      <w:r>
        <w:rPr>
          <w:rFonts w:ascii="Georgia" w:hAnsi="Georgia"/>
          <w:sz w:val="18"/>
          <w:szCs w:val="18"/>
        </w:rPr>
        <w:t>4</w:t>
      </w:r>
      <w:r>
        <w:rPr>
          <w:rFonts w:ascii="Georgia" w:hAnsi="Georgia"/>
          <w:b/>
          <w:sz w:val="18"/>
          <w:szCs w:val="18"/>
        </w:rPr>
        <w:tab/>
      </w:r>
      <w:r w:rsidR="002B241E" w:rsidRPr="00722917">
        <w:rPr>
          <w:rFonts w:ascii="Georgia" w:hAnsi="Georgia"/>
          <w:sz w:val="18"/>
          <w:szCs w:val="18"/>
        </w:rPr>
        <w:t>CFPB, FRB, FDIC, FHFA, NCUA, and OCC</w:t>
      </w:r>
      <w:r w:rsidR="002B241E">
        <w:rPr>
          <w:rFonts w:ascii="Georgia" w:hAnsi="Georgia"/>
          <w:sz w:val="18"/>
          <w:szCs w:val="18"/>
        </w:rPr>
        <w:t xml:space="preserve">: </w:t>
      </w:r>
      <w:hyperlink r:id="rId87" w:history="1">
        <w:r w:rsidR="002B241E" w:rsidRPr="00722917">
          <w:rPr>
            <w:rStyle w:val="Hyperlink"/>
            <w:rFonts w:ascii="Georgia" w:hAnsi="Georgia"/>
            <w:sz w:val="18"/>
            <w:szCs w:val="18"/>
          </w:rPr>
          <w:t>Appraisals for Higher-Priced Mortgage Loans</w:t>
        </w:r>
      </w:hyperlink>
      <w:r w:rsidR="002B241E">
        <w:rPr>
          <w:rStyle w:val="EndnoteReference"/>
          <w:rFonts w:ascii="Georgia" w:hAnsi="Georgia"/>
          <w:sz w:val="18"/>
          <w:szCs w:val="18"/>
        </w:rPr>
        <w:endnoteReference w:id="50"/>
      </w:r>
      <w:r w:rsidR="002B241E">
        <w:t xml:space="preserve"> </w:t>
      </w:r>
      <w:hyperlink r:id="rId88" w:history="1">
        <w:r w:rsidRPr="006F57E5">
          <w:rPr>
            <w:rStyle w:val="Hyperlink"/>
            <w:rFonts w:ascii="Georgia" w:hAnsi="Georgia"/>
            <w:sz w:val="18"/>
            <w:szCs w:val="18"/>
          </w:rPr>
          <w:t>Federal Banking Regulators: Appraisals for Higher-Priced Mortgage Loans – Supplemental Final Rule</w:t>
        </w:r>
      </w:hyperlink>
      <w:r>
        <w:rPr>
          <w:rStyle w:val="EndnoteReference"/>
        </w:rPr>
        <w:endnoteReference w:id="51"/>
      </w:r>
      <w:r w:rsidRPr="00CC275D">
        <w:rPr>
          <w:rFonts w:ascii="Georgia" w:hAnsi="Georgia"/>
          <w:b/>
          <w:sz w:val="18"/>
          <w:szCs w:val="18"/>
        </w:rPr>
        <w:t xml:space="preserve"> </w:t>
      </w:r>
      <w:r w:rsidRPr="00CC275D">
        <w:rPr>
          <w:rFonts w:ascii="Georgia" w:hAnsi="Georgia"/>
          <w:sz w:val="18"/>
          <w:szCs w:val="18"/>
        </w:rPr>
        <w:t>Alternative provisions regarding manufactured home loans are effective July 18, 2015, as indicated in the Supplementary Information, regulation text and Official Staff Commentary.</w:t>
      </w:r>
      <w:r w:rsidR="002B241E">
        <w:rPr>
          <w:rFonts w:ascii="Georgia" w:hAnsi="Georgia"/>
          <w:sz w:val="18"/>
          <w:szCs w:val="18"/>
        </w:rPr>
        <w:t xml:space="preserve"> </w:t>
      </w:r>
      <w:hyperlink r:id="rId89" w:history="1">
        <w:r w:rsidRPr="00722917">
          <w:rPr>
            <w:rStyle w:val="Hyperlink"/>
            <w:rFonts w:ascii="Georgia" w:hAnsi="Georgia"/>
            <w:sz w:val="18"/>
            <w:szCs w:val="18"/>
          </w:rPr>
          <w:t xml:space="preserve">Disclosure and Delivery Requirements for Copies of Appraisals and Other Written Valuations </w:t>
        </w:r>
        <w:proofErr w:type="gramStart"/>
        <w:r w:rsidRPr="00722917">
          <w:rPr>
            <w:rStyle w:val="Hyperlink"/>
            <w:rFonts w:ascii="Georgia" w:hAnsi="Georgia"/>
            <w:sz w:val="18"/>
            <w:szCs w:val="18"/>
          </w:rPr>
          <w:t>Under</w:t>
        </w:r>
        <w:proofErr w:type="gramEnd"/>
        <w:r w:rsidRPr="00722917">
          <w:rPr>
            <w:rStyle w:val="Hyperlink"/>
            <w:rFonts w:ascii="Georgia" w:hAnsi="Georgia"/>
            <w:sz w:val="18"/>
            <w:szCs w:val="18"/>
          </w:rPr>
          <w:t xml:space="preserve"> ECOA/Regulation B</w:t>
        </w:r>
      </w:hyperlink>
      <w:r>
        <w:rPr>
          <w:rStyle w:val="EndnoteReference"/>
          <w:rFonts w:ascii="Georgia" w:hAnsi="Georgia"/>
          <w:sz w:val="18"/>
          <w:szCs w:val="18"/>
        </w:rPr>
        <w:endnoteReference w:id="52"/>
      </w:r>
    </w:p>
    <w:p w:rsidR="00840E4F" w:rsidRDefault="00840E4F" w:rsidP="002B241E">
      <w:pPr>
        <w:ind w:left="1440" w:right="99" w:hanging="1440"/>
        <w:textAlignment w:val="baseline"/>
        <w:rPr>
          <w:rFonts w:ascii="Georgia" w:hAnsi="Georgia"/>
          <w:sz w:val="18"/>
          <w:szCs w:val="18"/>
        </w:rPr>
      </w:pPr>
    </w:p>
    <w:p w:rsidR="00606228" w:rsidRDefault="00606228" w:rsidP="00606228">
      <w:pPr>
        <w:ind w:left="1350" w:right="99" w:hanging="1350"/>
        <w:textAlignment w:val="baseline"/>
        <w:rPr>
          <w:rFonts w:ascii="Georgia" w:hAnsi="Georgia"/>
          <w:sz w:val="18"/>
          <w:szCs w:val="18"/>
        </w:rPr>
      </w:pPr>
      <w:r>
        <w:rPr>
          <w:rFonts w:ascii="Georgia" w:hAnsi="Georgia"/>
          <w:sz w:val="18"/>
          <w:szCs w:val="18"/>
        </w:rPr>
        <w:t>01.13.2014</w:t>
      </w:r>
      <w:r>
        <w:rPr>
          <w:rFonts w:ascii="Georgia" w:hAnsi="Georgia"/>
          <w:sz w:val="18"/>
          <w:szCs w:val="18"/>
        </w:rPr>
        <w:tab/>
      </w:r>
      <w:hyperlink r:id="rId90" w:history="1">
        <w:r w:rsidRPr="006F57E5">
          <w:rPr>
            <w:rStyle w:val="Hyperlink"/>
            <w:rFonts w:ascii="Georgia" w:hAnsi="Georgia"/>
            <w:sz w:val="18"/>
            <w:szCs w:val="18"/>
          </w:rPr>
          <w:t>SEC: Registration of Municipal Advisors</w:t>
        </w:r>
      </w:hyperlink>
      <w:r w:rsidRPr="006F57E5">
        <w:rPr>
          <w:rStyle w:val="EndnoteReference"/>
          <w:rFonts w:ascii="Georgia" w:hAnsi="Georgia"/>
          <w:sz w:val="18"/>
          <w:szCs w:val="18"/>
        </w:rPr>
        <w:endnoteReference w:id="53"/>
      </w:r>
      <w:r w:rsidRPr="00CC275D">
        <w:rPr>
          <w:rFonts w:ascii="Georgia" w:hAnsi="Georgia"/>
          <w:b/>
          <w:sz w:val="18"/>
          <w:szCs w:val="18"/>
        </w:rPr>
        <w:t xml:space="preserve"> </w:t>
      </w:r>
      <w:r w:rsidRPr="00CC275D">
        <w:rPr>
          <w:rFonts w:ascii="Georgia" w:hAnsi="Georgia"/>
          <w:sz w:val="18"/>
          <w:szCs w:val="18"/>
        </w:rPr>
        <w:t xml:space="preserve">The </w:t>
      </w:r>
      <w:r>
        <w:rPr>
          <w:rFonts w:ascii="Georgia" w:hAnsi="Georgia"/>
          <w:sz w:val="18"/>
          <w:szCs w:val="18"/>
        </w:rPr>
        <w:t xml:space="preserve">SEC </w:t>
      </w:r>
      <w:r w:rsidRPr="00CC275D">
        <w:rPr>
          <w:rFonts w:ascii="Georgia" w:hAnsi="Georgia"/>
          <w:sz w:val="18"/>
          <w:szCs w:val="18"/>
        </w:rPr>
        <w:t>adopt</w:t>
      </w:r>
      <w:r>
        <w:rPr>
          <w:rFonts w:ascii="Georgia" w:hAnsi="Georgia"/>
          <w:sz w:val="18"/>
          <w:szCs w:val="18"/>
        </w:rPr>
        <w:t>ed</w:t>
      </w:r>
      <w:r w:rsidRPr="00CC275D">
        <w:rPr>
          <w:rFonts w:ascii="Georgia" w:hAnsi="Georgia"/>
          <w:sz w:val="18"/>
          <w:szCs w:val="18"/>
        </w:rPr>
        <w:t xml:space="preserve"> new Rules 15Ba1-1 through 15Ba1-8, new Rule 15Bc4-1, and new Forms MA, MA-I, MA-W, and MA-NR under the Exchange Act. These rules and forms are designed to give effect to provisions of Title IX of the Dodd-Frank Act that, among other things, require the Commission to establish a registration regime for municipal advisors and impose certain record-keeping requirements on such advisors. </w:t>
      </w:r>
    </w:p>
    <w:p w:rsidR="00606228" w:rsidRPr="00CC275D" w:rsidRDefault="00606228" w:rsidP="00606228">
      <w:pPr>
        <w:ind w:left="1350" w:right="99" w:hanging="1350"/>
        <w:textAlignment w:val="baseline"/>
        <w:rPr>
          <w:rFonts w:ascii="Georgia" w:hAnsi="Georgia"/>
          <w:sz w:val="18"/>
          <w:szCs w:val="18"/>
        </w:rPr>
      </w:pPr>
    </w:p>
    <w:p w:rsidR="00606228" w:rsidRDefault="00606228" w:rsidP="00606228">
      <w:pPr>
        <w:ind w:left="1440" w:hanging="1440"/>
        <w:rPr>
          <w:rFonts w:ascii="Georgia" w:hAnsi="Georgia" w:cs="Helvetica"/>
          <w:sz w:val="18"/>
          <w:szCs w:val="18"/>
        </w:rPr>
      </w:pPr>
      <w:r>
        <w:rPr>
          <w:rFonts w:ascii="Georgia" w:hAnsi="Georgia"/>
          <w:sz w:val="18"/>
          <w:szCs w:val="18"/>
        </w:rPr>
        <w:t>01.10.2014</w:t>
      </w:r>
      <w:r>
        <w:rPr>
          <w:rFonts w:ascii="Georgia" w:hAnsi="Georgia"/>
          <w:sz w:val="18"/>
          <w:szCs w:val="18"/>
        </w:rPr>
        <w:tab/>
      </w:r>
      <w:hyperlink r:id="rId91" w:history="1">
        <w:r w:rsidRPr="00903D8B">
          <w:rPr>
            <w:rStyle w:val="Hyperlink"/>
            <w:rFonts w:ascii="Georgia" w:hAnsi="Georgia" w:cs="Helvetica"/>
            <w:sz w:val="18"/>
            <w:szCs w:val="18"/>
          </w:rPr>
          <w:t>Homeownership Counseling Organizations Lists Interpretive Rule</w:t>
        </w:r>
      </w:hyperlink>
      <w:r>
        <w:rPr>
          <w:rStyle w:val="EndnoteReference"/>
          <w:rFonts w:ascii="Georgia" w:hAnsi="Georgia"/>
          <w:sz w:val="18"/>
          <w:szCs w:val="18"/>
        </w:rPr>
        <w:endnoteReference w:id="54"/>
      </w:r>
      <w:r w:rsidRPr="00AC0206">
        <w:rPr>
          <w:rFonts w:ascii="Georgia" w:hAnsi="Georgia" w:cs="Helvetica"/>
          <w:sz w:val="18"/>
          <w:szCs w:val="18"/>
        </w:rPr>
        <w:t xml:space="preserve">  This rule describes data instructions for lenders to use in complying with the requirement under the High-Cost Mortgage and Homeownership Counseling Amendments to the Truth in Lending Act (Regulation Z) and Homeownership Counseling Amendments to RESPA Final Rule to provide a homeownership counseling list using data made available by the CFPB or HUD.</w:t>
      </w:r>
      <w:r>
        <w:rPr>
          <w:rFonts w:ascii="Georgia" w:hAnsi="Georgia" w:cs="Helvetica"/>
          <w:sz w:val="18"/>
          <w:szCs w:val="18"/>
        </w:rPr>
        <w:br/>
      </w:r>
    </w:p>
    <w:p w:rsidR="00606228" w:rsidRPr="00CC275D" w:rsidRDefault="00606228" w:rsidP="00606228">
      <w:pPr>
        <w:ind w:left="1350" w:right="99" w:hanging="1350"/>
        <w:textAlignment w:val="baseline"/>
        <w:rPr>
          <w:rFonts w:ascii="Georgia" w:hAnsi="Georgia" w:cs="Helvetica"/>
          <w:sz w:val="18"/>
          <w:szCs w:val="18"/>
        </w:rPr>
      </w:pPr>
      <w:r>
        <w:rPr>
          <w:rFonts w:ascii="Georgia" w:hAnsi="Georgia"/>
          <w:sz w:val="18"/>
          <w:szCs w:val="18"/>
        </w:rPr>
        <w:t>01.10.2014</w:t>
      </w:r>
      <w:r>
        <w:rPr>
          <w:rFonts w:ascii="Georgia" w:hAnsi="Georgia"/>
          <w:sz w:val="18"/>
          <w:szCs w:val="18"/>
        </w:rPr>
        <w:tab/>
      </w:r>
      <w:hyperlink r:id="rId92" w:history="1">
        <w:r w:rsidRPr="006F57E5">
          <w:rPr>
            <w:rStyle w:val="Hyperlink"/>
            <w:rFonts w:ascii="Georgia" w:hAnsi="Georgia"/>
            <w:sz w:val="18"/>
            <w:szCs w:val="18"/>
          </w:rPr>
          <w:t>HUD: Qualified Mortgage Definition for HUD Insured and Guaranteed Single Family Mortgages</w:t>
        </w:r>
      </w:hyperlink>
      <w:r w:rsidRPr="00CC275D">
        <w:rPr>
          <w:rStyle w:val="EndnoteReference"/>
          <w:rFonts w:ascii="Georgia" w:hAnsi="Georgia"/>
          <w:b/>
          <w:color w:val="363636"/>
          <w:sz w:val="18"/>
          <w:szCs w:val="18"/>
        </w:rPr>
        <w:endnoteReference w:id="55"/>
      </w:r>
      <w:r w:rsidRPr="00CC275D">
        <w:rPr>
          <w:rFonts w:ascii="Georgia" w:hAnsi="Georgia"/>
          <w:color w:val="363636"/>
          <w:sz w:val="18"/>
          <w:szCs w:val="18"/>
        </w:rPr>
        <w:t xml:space="preserve"> Through this final rule, HUD establishes a definition of “qualified mortgage” for the single family residential loans that HUD insures, guarantees, or administers that aligns with the statutory ability-to-repay criter</w:t>
      </w:r>
      <w:r>
        <w:rPr>
          <w:rFonts w:ascii="Georgia" w:hAnsi="Georgia"/>
          <w:color w:val="363636"/>
          <w:sz w:val="18"/>
          <w:szCs w:val="18"/>
        </w:rPr>
        <w:t>ia of the TILA</w:t>
      </w:r>
      <w:r w:rsidRPr="00CC275D">
        <w:rPr>
          <w:rFonts w:ascii="Georgia" w:hAnsi="Georgia"/>
          <w:color w:val="363636"/>
          <w:sz w:val="18"/>
          <w:szCs w:val="18"/>
        </w:rPr>
        <w:t xml:space="preserve"> and the regulatory criteria of the definition of “qualified mortgage” </w:t>
      </w:r>
      <w:r>
        <w:rPr>
          <w:rFonts w:ascii="Georgia" w:hAnsi="Georgia"/>
          <w:color w:val="363636"/>
          <w:sz w:val="18"/>
          <w:szCs w:val="18"/>
        </w:rPr>
        <w:t xml:space="preserve">promulgated by the </w:t>
      </w:r>
      <w:r w:rsidRPr="00CC275D">
        <w:rPr>
          <w:rFonts w:ascii="Georgia" w:hAnsi="Georgia"/>
          <w:color w:val="363636"/>
          <w:sz w:val="18"/>
          <w:szCs w:val="18"/>
        </w:rPr>
        <w:t xml:space="preserve">CFPB). </w:t>
      </w:r>
    </w:p>
    <w:p w:rsidR="00606228" w:rsidRDefault="00606228" w:rsidP="00606228">
      <w:pPr>
        <w:ind w:left="1440" w:hanging="1440"/>
        <w:rPr>
          <w:rFonts w:ascii="Georgia" w:hAnsi="Georgia" w:cs="Helvetica"/>
          <w:sz w:val="18"/>
          <w:szCs w:val="18"/>
        </w:rPr>
      </w:pPr>
    </w:p>
    <w:p w:rsidR="00606228" w:rsidRDefault="00606228" w:rsidP="00606228">
      <w:pPr>
        <w:ind w:left="1440" w:hanging="1440"/>
        <w:rPr>
          <w:rFonts w:ascii="Georgia" w:hAnsi="Georgia"/>
          <w:sz w:val="18"/>
          <w:szCs w:val="18"/>
        </w:rPr>
      </w:pPr>
      <w:r>
        <w:rPr>
          <w:rFonts w:ascii="Georgia" w:hAnsi="Georgia"/>
          <w:sz w:val="18"/>
          <w:szCs w:val="18"/>
        </w:rPr>
        <w:t>01.10.2014</w:t>
      </w:r>
      <w:r>
        <w:rPr>
          <w:rFonts w:ascii="Georgia" w:hAnsi="Georgia"/>
          <w:sz w:val="18"/>
          <w:szCs w:val="18"/>
        </w:rPr>
        <w:tab/>
      </w:r>
      <w:hyperlink r:id="rId93" w:history="1">
        <w:r w:rsidRPr="00C14278">
          <w:rPr>
            <w:rStyle w:val="Hyperlink"/>
            <w:rFonts w:ascii="Georgia" w:hAnsi="Georgia"/>
            <w:sz w:val="18"/>
            <w:szCs w:val="18"/>
          </w:rPr>
          <w:t>CFPB: Amendments to the 2013 Mortgage Rules under the RESPA (Regulation X) and the TILA (Regulation Z)</w:t>
        </w:r>
      </w:hyperlink>
      <w:r w:rsidRPr="00800C7D">
        <w:rPr>
          <w:rFonts w:ascii="Georgia" w:hAnsi="Georgia"/>
          <w:sz w:val="18"/>
          <w:szCs w:val="18"/>
        </w:rPr>
        <w:t xml:space="preserve"> This rule amends provisions in Regulation Z and final rules issued by the CFPB in 2013, which, among other things, required that consumers receive counseling before obtaining high-cost mortgages and that servicers provide periodic account statement s and rate adjustment notices to mortgage borrowers, as well as engage in early intervention when borrowers become delinquent. The amendments clarify the specific disclosures that must be provided before counseling for high-cost mortgages can occur, and proper compliance regarding servicing requirements when a consumer is in bankruptcy or sends a cease communication request under the Fair Debt Collection Practices Act. The rule also makes technical corrections to provisions of other rules. The Bureau requests public comment on these changes. </w:t>
      </w:r>
    </w:p>
    <w:p w:rsidR="00606228" w:rsidRDefault="00606228" w:rsidP="00606228">
      <w:pPr>
        <w:ind w:left="1440" w:hanging="1440"/>
        <w:rPr>
          <w:rFonts w:ascii="Georgia" w:hAnsi="Georgia"/>
          <w:sz w:val="18"/>
          <w:szCs w:val="18"/>
        </w:rPr>
      </w:pPr>
    </w:p>
    <w:p w:rsidR="00606228" w:rsidRPr="00EB689D" w:rsidRDefault="00606228" w:rsidP="00606228">
      <w:pPr>
        <w:ind w:left="1440" w:hanging="1440"/>
        <w:rPr>
          <w:rFonts w:ascii="Georgia" w:hAnsi="Georgia"/>
          <w:sz w:val="18"/>
          <w:szCs w:val="18"/>
        </w:rPr>
      </w:pPr>
      <w:r>
        <w:rPr>
          <w:rFonts w:ascii="Georgia" w:hAnsi="Georgia"/>
          <w:sz w:val="18"/>
          <w:szCs w:val="18"/>
        </w:rPr>
        <w:t>01.10.2014</w:t>
      </w:r>
      <w:r>
        <w:rPr>
          <w:rFonts w:ascii="Georgia" w:hAnsi="Georgia"/>
          <w:sz w:val="18"/>
          <w:szCs w:val="18"/>
        </w:rPr>
        <w:tab/>
        <w:t xml:space="preserve">CFPB: </w:t>
      </w:r>
      <w:hyperlink r:id="rId94" w:history="1">
        <w:r w:rsidRPr="00722917">
          <w:rPr>
            <w:rStyle w:val="Hyperlink"/>
            <w:rFonts w:ascii="Georgia" w:hAnsi="Georgia"/>
            <w:sz w:val="18"/>
            <w:szCs w:val="18"/>
          </w:rPr>
          <w:t>Loan Originator Compensation Requirements Under TILA/Regulation Z</w:t>
        </w:r>
      </w:hyperlink>
      <w:r>
        <w:rPr>
          <w:rStyle w:val="EndnoteReference"/>
          <w:rFonts w:ascii="Georgia" w:hAnsi="Georgia"/>
          <w:sz w:val="18"/>
          <w:szCs w:val="18"/>
        </w:rPr>
        <w:endnoteReference w:id="56"/>
      </w:r>
      <w:r>
        <w:rPr>
          <w:rStyle w:val="Hyperlink"/>
          <w:rFonts w:ascii="Georgia" w:hAnsi="Georgia"/>
          <w:sz w:val="18"/>
          <w:szCs w:val="18"/>
        </w:rPr>
        <w:t xml:space="preserve"> </w:t>
      </w:r>
      <w:r w:rsidR="00341B4A">
        <w:rPr>
          <w:rFonts w:ascii="Georgia" w:hAnsi="Georgia"/>
          <w:sz w:val="18"/>
          <w:szCs w:val="18"/>
        </w:rPr>
        <w:t xml:space="preserve">There are a number of effective dates—consult the </w:t>
      </w:r>
      <w:hyperlink r:id="rId95" w:history="1">
        <w:r w:rsidR="00341B4A" w:rsidRPr="00341B4A">
          <w:rPr>
            <w:rStyle w:val="Hyperlink"/>
            <w:rFonts w:ascii="Georgia" w:hAnsi="Georgia"/>
            <w:sz w:val="18"/>
            <w:szCs w:val="18"/>
          </w:rPr>
          <w:t>compliance guide</w:t>
        </w:r>
      </w:hyperlink>
      <w:r w:rsidR="00341B4A">
        <w:rPr>
          <w:rStyle w:val="EndnoteReference"/>
          <w:rFonts w:ascii="Georgia" w:hAnsi="Georgia"/>
          <w:sz w:val="18"/>
          <w:szCs w:val="18"/>
        </w:rPr>
        <w:endnoteReference w:id="57"/>
      </w:r>
      <w:r w:rsidR="00341B4A">
        <w:rPr>
          <w:rFonts w:ascii="Georgia" w:hAnsi="Georgia"/>
          <w:sz w:val="18"/>
          <w:szCs w:val="18"/>
        </w:rPr>
        <w:t xml:space="preserve"> for details. </w:t>
      </w:r>
      <w:r>
        <w:rPr>
          <w:rFonts w:ascii="Georgia" w:hAnsi="Georgia"/>
          <w:sz w:val="18"/>
          <w:szCs w:val="18"/>
        </w:rPr>
        <w:t xml:space="preserve">Amendments to §1026.36(h) and (i), which are a prohibition on financing credit insurance in connection with consumer credit transactions secured by a dwelling, and which were to be effective on June 1, 2013, will now be effective on January 10, 2014 after clarifications are adopted. Click </w:t>
      </w:r>
      <w:hyperlink r:id="rId96" w:history="1">
        <w:r w:rsidRPr="00A56124">
          <w:rPr>
            <w:rStyle w:val="Hyperlink"/>
            <w:rFonts w:ascii="Georgia" w:hAnsi="Georgia"/>
            <w:sz w:val="18"/>
            <w:szCs w:val="18"/>
          </w:rPr>
          <w:t>here</w:t>
        </w:r>
      </w:hyperlink>
      <w:r>
        <w:rPr>
          <w:rStyle w:val="EndnoteReference"/>
          <w:rFonts w:ascii="Georgia" w:hAnsi="Georgia"/>
          <w:sz w:val="18"/>
          <w:szCs w:val="18"/>
        </w:rPr>
        <w:endnoteReference w:id="58"/>
      </w:r>
      <w:r>
        <w:rPr>
          <w:rFonts w:ascii="Georgia" w:hAnsi="Georgia"/>
          <w:sz w:val="18"/>
          <w:szCs w:val="18"/>
        </w:rPr>
        <w:t xml:space="preserve"> to read the notice of the delay of the effective date.</w:t>
      </w:r>
      <w:r w:rsidR="00341B4A">
        <w:rPr>
          <w:rFonts w:ascii="Georgia" w:hAnsi="Georgia"/>
          <w:sz w:val="18"/>
          <w:szCs w:val="18"/>
        </w:rPr>
        <w:t xml:space="preserve"> There are a number of effective dates—consult the </w:t>
      </w:r>
      <w:hyperlink r:id="rId97" w:history="1">
        <w:r w:rsidR="00341B4A" w:rsidRPr="00341B4A">
          <w:rPr>
            <w:rStyle w:val="Hyperlink"/>
            <w:rFonts w:ascii="Georgia" w:hAnsi="Georgia"/>
            <w:sz w:val="18"/>
            <w:szCs w:val="18"/>
          </w:rPr>
          <w:t>compliance guide</w:t>
        </w:r>
      </w:hyperlink>
      <w:r w:rsidR="00341B4A">
        <w:rPr>
          <w:rStyle w:val="EndnoteReference"/>
          <w:rFonts w:ascii="Georgia" w:hAnsi="Georgia"/>
          <w:sz w:val="18"/>
          <w:szCs w:val="18"/>
        </w:rPr>
        <w:endnoteReference w:id="59"/>
      </w:r>
      <w:r w:rsidR="00341B4A">
        <w:rPr>
          <w:rFonts w:ascii="Georgia" w:hAnsi="Georgia"/>
          <w:sz w:val="18"/>
          <w:szCs w:val="18"/>
        </w:rPr>
        <w:t xml:space="preserve"> for details.</w:t>
      </w:r>
    </w:p>
    <w:p w:rsidR="00606228" w:rsidRDefault="00606228" w:rsidP="00606228">
      <w:pPr>
        <w:ind w:left="1440" w:hanging="1440"/>
        <w:rPr>
          <w:rFonts w:ascii="Georgia" w:hAnsi="Georgia"/>
          <w:sz w:val="18"/>
          <w:szCs w:val="18"/>
        </w:rPr>
      </w:pPr>
    </w:p>
    <w:p w:rsidR="00606228" w:rsidRPr="00612640" w:rsidRDefault="00606228" w:rsidP="00606228">
      <w:pPr>
        <w:ind w:left="1440" w:hanging="1440"/>
        <w:rPr>
          <w:rFonts w:ascii="Georgia" w:hAnsi="Georgia"/>
          <w:sz w:val="18"/>
          <w:szCs w:val="18"/>
        </w:rPr>
      </w:pPr>
      <w:r>
        <w:rPr>
          <w:rFonts w:ascii="Georgia" w:hAnsi="Georgia"/>
          <w:sz w:val="18"/>
          <w:szCs w:val="18"/>
        </w:rPr>
        <w:t>01.10.2014</w:t>
      </w:r>
      <w:r>
        <w:rPr>
          <w:rFonts w:ascii="Georgia" w:hAnsi="Georgia"/>
          <w:sz w:val="18"/>
          <w:szCs w:val="18"/>
        </w:rPr>
        <w:tab/>
        <w:t xml:space="preserve">CFPB: </w:t>
      </w:r>
      <w:hyperlink r:id="rId98" w:history="1">
        <w:r w:rsidRPr="00722917">
          <w:rPr>
            <w:rStyle w:val="Hyperlink"/>
            <w:rFonts w:ascii="Georgia" w:hAnsi="Georgia"/>
            <w:sz w:val="18"/>
            <w:szCs w:val="18"/>
          </w:rPr>
          <w:t>RESPA/Regulation X and TILA/Regulation Z Mortgage Servicing</w:t>
        </w:r>
      </w:hyperlink>
      <w:r>
        <w:rPr>
          <w:rStyle w:val="EndnoteReference"/>
          <w:rFonts w:ascii="Georgia" w:hAnsi="Georgia"/>
          <w:sz w:val="18"/>
          <w:szCs w:val="18"/>
        </w:rPr>
        <w:endnoteReference w:id="60"/>
      </w:r>
      <w:r>
        <w:t xml:space="preserve"> </w:t>
      </w:r>
      <w:r>
        <w:rPr>
          <w:rFonts w:ascii="Georgia" w:hAnsi="Georgia" w:cs="Helvetica"/>
          <w:sz w:val="18"/>
          <w:szCs w:val="18"/>
        </w:rPr>
        <w:t xml:space="preserve">RESPA final rule includes servicer’s’ obligations to correct errors asserted by mortgage loan borrowers; provide certain information requested by such borrowers; and provide protection to such borrowers in connection with force-placed insurance. The Reg. Z final rule includes initial rate adjustment notices, periodic statements for residential mortgage loans, crediting of mortgage payments; and responses to requests for payoff amounts. This final rule was further corrected, clarified, and amended: </w:t>
      </w:r>
      <w:hyperlink r:id="rId99" w:history="1">
        <w:r w:rsidRPr="00612640">
          <w:rPr>
            <w:rStyle w:val="Hyperlink"/>
            <w:rFonts w:ascii="Georgia" w:hAnsi="Georgia" w:cs="Arial"/>
            <w:sz w:val="18"/>
            <w:szCs w:val="18"/>
          </w:rPr>
          <w:t>CFPB finalizes corrections, clarifications, and amendments to mortgage rules</w:t>
        </w:r>
      </w:hyperlink>
      <w:r>
        <w:rPr>
          <w:rStyle w:val="EndnoteReference"/>
          <w:rFonts w:ascii="Georgia" w:hAnsi="Georgia"/>
          <w:color w:val="0000FF"/>
          <w:sz w:val="18"/>
          <w:szCs w:val="18"/>
          <w:u w:val="single"/>
        </w:rPr>
        <w:endnoteReference w:id="61"/>
      </w:r>
      <w:r>
        <w:rPr>
          <w:sz w:val="18"/>
          <w:szCs w:val="18"/>
        </w:rPr>
        <w:t>:</w:t>
      </w:r>
      <w:r w:rsidRPr="00612640">
        <w:t xml:space="preserve"> </w:t>
      </w:r>
      <w:r>
        <w:rPr>
          <w:sz w:val="18"/>
          <w:szCs w:val="18"/>
        </w:rPr>
        <w:t>●</w:t>
      </w:r>
      <w:r w:rsidRPr="00612640">
        <w:rPr>
          <w:rFonts w:ascii="Georgia" w:hAnsi="Georgia"/>
          <w:sz w:val="18"/>
          <w:szCs w:val="18"/>
        </w:rPr>
        <w:t xml:space="preserve">Clarifies how to determine a consumer’s debt-to-income (DTI) ratio: </w:t>
      </w:r>
      <w:r>
        <w:rPr>
          <w:rFonts w:ascii="Georgia" w:hAnsi="Georgia"/>
          <w:sz w:val="18"/>
          <w:szCs w:val="18"/>
        </w:rPr>
        <w:t>●</w:t>
      </w:r>
      <w:r w:rsidRPr="00612640">
        <w:rPr>
          <w:rFonts w:ascii="Georgia" w:hAnsi="Georgia"/>
          <w:sz w:val="18"/>
          <w:szCs w:val="18"/>
        </w:rPr>
        <w:t>Explains that CFPB’s RESPA rule does not preempt the field of servicing regulation by states</w:t>
      </w:r>
      <w:r>
        <w:rPr>
          <w:rFonts w:ascii="Georgia" w:hAnsi="Georgia"/>
          <w:sz w:val="18"/>
          <w:szCs w:val="18"/>
        </w:rPr>
        <w:t>. ●</w:t>
      </w:r>
      <w:r w:rsidRPr="00612640">
        <w:rPr>
          <w:rFonts w:ascii="Georgia" w:hAnsi="Georgia"/>
          <w:sz w:val="18"/>
          <w:szCs w:val="18"/>
        </w:rPr>
        <w:t>Establishes which mortgage loans to consider in det</w:t>
      </w:r>
      <w:r>
        <w:rPr>
          <w:rFonts w:ascii="Georgia" w:hAnsi="Georgia"/>
          <w:sz w:val="18"/>
          <w:szCs w:val="18"/>
        </w:rPr>
        <w:t>ermining small servicer status</w:t>
      </w:r>
      <w:r w:rsidRPr="00612640">
        <w:rPr>
          <w:rFonts w:ascii="Georgia" w:hAnsi="Georgia"/>
          <w:sz w:val="18"/>
          <w:szCs w:val="18"/>
        </w:rPr>
        <w:t>.</w:t>
      </w:r>
      <w:r>
        <w:rPr>
          <w:rFonts w:ascii="Georgia" w:hAnsi="Georgia"/>
          <w:sz w:val="18"/>
          <w:szCs w:val="18"/>
        </w:rPr>
        <w:t xml:space="preserve"> ●</w:t>
      </w:r>
      <w:r w:rsidRPr="00612640">
        <w:rPr>
          <w:rFonts w:ascii="Georgia" w:hAnsi="Georgia"/>
          <w:sz w:val="18"/>
          <w:szCs w:val="18"/>
        </w:rPr>
        <w:t>Clarifies the eligibility standar</w:t>
      </w:r>
      <w:r>
        <w:rPr>
          <w:rFonts w:ascii="Georgia" w:hAnsi="Georgia"/>
          <w:sz w:val="18"/>
          <w:szCs w:val="18"/>
        </w:rPr>
        <w:t>d of the temporary QM provision</w:t>
      </w:r>
      <w:r w:rsidRPr="00612640">
        <w:rPr>
          <w:rFonts w:ascii="Georgia" w:hAnsi="Georgia"/>
          <w:sz w:val="18"/>
          <w:szCs w:val="18"/>
        </w:rPr>
        <w:t>.</w:t>
      </w:r>
    </w:p>
    <w:p w:rsidR="00606228" w:rsidRDefault="00606228" w:rsidP="00606228">
      <w:pPr>
        <w:ind w:left="1440" w:hanging="1440"/>
        <w:rPr>
          <w:rFonts w:ascii="Georgia" w:hAnsi="Georgia"/>
          <w:sz w:val="18"/>
          <w:szCs w:val="18"/>
        </w:rPr>
      </w:pPr>
    </w:p>
    <w:p w:rsidR="00606228" w:rsidRDefault="00606228" w:rsidP="00606228">
      <w:pPr>
        <w:ind w:left="1440" w:hanging="1440"/>
        <w:rPr>
          <w:rFonts w:ascii="Georgia" w:hAnsi="Georgia"/>
          <w:sz w:val="18"/>
          <w:szCs w:val="18"/>
        </w:rPr>
      </w:pPr>
      <w:r>
        <w:rPr>
          <w:rFonts w:ascii="Georgia" w:hAnsi="Georgia"/>
          <w:sz w:val="18"/>
          <w:szCs w:val="18"/>
        </w:rPr>
        <w:t>01.10.2014</w:t>
      </w:r>
      <w:r>
        <w:rPr>
          <w:rFonts w:ascii="Georgia" w:hAnsi="Georgia"/>
          <w:sz w:val="18"/>
          <w:szCs w:val="18"/>
        </w:rPr>
        <w:tab/>
        <w:t xml:space="preserve">CFPB: </w:t>
      </w:r>
      <w:hyperlink r:id="rId100" w:history="1">
        <w:r w:rsidRPr="008B7D72">
          <w:rPr>
            <w:rStyle w:val="Hyperlink"/>
            <w:rFonts w:ascii="Georgia" w:hAnsi="Georgia"/>
            <w:sz w:val="18"/>
            <w:szCs w:val="18"/>
          </w:rPr>
          <w:t>Clarifications to the</w:t>
        </w:r>
        <w:r>
          <w:rPr>
            <w:rStyle w:val="Hyperlink"/>
            <w:rFonts w:ascii="Georgia" w:hAnsi="Georgia"/>
            <w:sz w:val="18"/>
            <w:szCs w:val="18"/>
          </w:rPr>
          <w:t xml:space="preserve"> </w:t>
        </w:r>
        <w:r w:rsidRPr="008B7D72">
          <w:rPr>
            <w:rStyle w:val="Hyperlink"/>
            <w:rFonts w:ascii="Georgia" w:hAnsi="Georgia"/>
            <w:sz w:val="18"/>
            <w:szCs w:val="18"/>
          </w:rPr>
          <w:t>2013 Mortgage Rules under the Equal Credit Opportunity Act (Regulation B), Real Estate Settlement Procedures Act (Regulation X), and the Truth in Lending Act (Regulation Z)</w:t>
        </w:r>
      </w:hyperlink>
      <w:r>
        <w:rPr>
          <w:rFonts w:ascii="Georgia" w:hAnsi="Georgia"/>
          <w:sz w:val="18"/>
          <w:szCs w:val="18"/>
        </w:rPr>
        <w:t xml:space="preserve"> </w:t>
      </w:r>
      <w:r w:rsidRPr="00DF480B">
        <w:rPr>
          <w:rFonts w:ascii="Georgia" w:hAnsi="Georgia"/>
          <w:sz w:val="18"/>
          <w:szCs w:val="18"/>
        </w:rPr>
        <w:t>Among other things, these amendments: ●Clarify what servicer activities are prohibited in the first 120 days of delinquency; ●Facilitate servicers’ offering of short-term forbearance plans; ●Clarify best practices for informing borrowers about the address for error resolution documents; ●Facilitate lending in rural and underserved areas, while the CFPB is reexamining the rural and underserved definitions, by: 1) Exempting all small creditors from a new ban on high-cost mortgages featuring balloon payments so long as certain restrictions are met; and 2) making it easier for certain small creditors to continue to qualify for an exemption from a requirement to maintain escrows on certain HPMLs; ●Make clarifications about financing of credit insurance premiums; ●Clarify the definition of a loan originator; ●Clarify the points and fees thresholds and loan originator compensation rules for manufactured housing employees; ●Revise effective dates of many loan originator compensation rule provisions.</w:t>
      </w:r>
    </w:p>
    <w:p w:rsidR="00606228" w:rsidRDefault="00606228" w:rsidP="00606228">
      <w:pPr>
        <w:ind w:left="1440" w:hanging="1440"/>
        <w:rPr>
          <w:rFonts w:ascii="Georgia" w:hAnsi="Georgia"/>
          <w:sz w:val="18"/>
          <w:szCs w:val="18"/>
        </w:rPr>
      </w:pPr>
    </w:p>
    <w:p w:rsidR="00606228" w:rsidRPr="00571DFC" w:rsidRDefault="00606228" w:rsidP="00606228">
      <w:pPr>
        <w:ind w:left="1440" w:hanging="1440"/>
        <w:rPr>
          <w:rFonts w:ascii="Georgia" w:hAnsi="Georgia"/>
          <w:sz w:val="18"/>
          <w:szCs w:val="18"/>
        </w:rPr>
      </w:pPr>
      <w:r>
        <w:rPr>
          <w:rFonts w:ascii="Georgia" w:hAnsi="Georgia"/>
          <w:sz w:val="18"/>
          <w:szCs w:val="18"/>
        </w:rPr>
        <w:t>01.10</w:t>
      </w:r>
      <w:r w:rsidRPr="00571DFC">
        <w:rPr>
          <w:rFonts w:ascii="Georgia" w:hAnsi="Georgia"/>
          <w:sz w:val="18"/>
          <w:szCs w:val="18"/>
        </w:rPr>
        <w:t>.2014</w:t>
      </w:r>
      <w:r w:rsidRPr="00571DFC">
        <w:rPr>
          <w:rFonts w:ascii="Georgia" w:hAnsi="Georgia"/>
          <w:sz w:val="18"/>
          <w:szCs w:val="18"/>
        </w:rPr>
        <w:tab/>
      </w:r>
      <w:r>
        <w:rPr>
          <w:rFonts w:ascii="Georgia" w:hAnsi="Georgia"/>
          <w:sz w:val="18"/>
          <w:szCs w:val="18"/>
        </w:rPr>
        <w:t xml:space="preserve">CFPB: </w:t>
      </w:r>
      <w:hyperlink r:id="rId101" w:history="1">
        <w:r w:rsidRPr="00722917">
          <w:rPr>
            <w:rStyle w:val="Hyperlink"/>
            <w:rFonts w:ascii="Georgia" w:hAnsi="Georgia"/>
            <w:sz w:val="18"/>
            <w:szCs w:val="18"/>
          </w:rPr>
          <w:t>Ability to Repay (ATR) and Qualified Mortgage (QM) Standards under TILA/Regulation Z</w:t>
        </w:r>
      </w:hyperlink>
      <w:r w:rsidRPr="00571DFC">
        <w:rPr>
          <w:rStyle w:val="EndnoteReference"/>
          <w:rFonts w:ascii="Georgia" w:hAnsi="Georgia"/>
          <w:sz w:val="18"/>
          <w:szCs w:val="18"/>
        </w:rPr>
        <w:endnoteReference w:id="62"/>
      </w:r>
    </w:p>
    <w:p w:rsidR="00606228" w:rsidRDefault="00606228" w:rsidP="00606228">
      <w:pPr>
        <w:ind w:left="1440" w:hanging="1440"/>
        <w:rPr>
          <w:rFonts w:ascii="Georgia" w:hAnsi="Georgia" w:cs="Helvetica"/>
          <w:sz w:val="18"/>
          <w:szCs w:val="18"/>
        </w:rPr>
      </w:pPr>
    </w:p>
    <w:p w:rsidR="00606228" w:rsidRDefault="00606228" w:rsidP="00606228">
      <w:pPr>
        <w:ind w:left="1440" w:hanging="1440"/>
        <w:rPr>
          <w:rFonts w:ascii="Georgia" w:hAnsi="Georgia"/>
          <w:sz w:val="18"/>
          <w:szCs w:val="18"/>
        </w:rPr>
      </w:pPr>
      <w:r>
        <w:rPr>
          <w:rFonts w:ascii="Georgia" w:hAnsi="Georgia" w:cs="Helvetica"/>
          <w:sz w:val="18"/>
          <w:szCs w:val="18"/>
        </w:rPr>
        <w:t>01.10.2014</w:t>
      </w:r>
      <w:r>
        <w:rPr>
          <w:rFonts w:ascii="Georgia" w:hAnsi="Georgia" w:cs="Helvetica"/>
          <w:sz w:val="18"/>
          <w:szCs w:val="18"/>
        </w:rPr>
        <w:tab/>
        <w:t xml:space="preserve">CFPB: </w:t>
      </w:r>
      <w:hyperlink r:id="rId102" w:history="1">
        <w:r w:rsidRPr="00722917">
          <w:rPr>
            <w:rStyle w:val="Hyperlink"/>
            <w:rFonts w:ascii="Georgia" w:hAnsi="Georgia"/>
            <w:sz w:val="18"/>
            <w:szCs w:val="18"/>
          </w:rPr>
          <w:t>High-Cost Mortgage and Homeownership Counseling Amendments to TILA/Regulation Z and Homeownership Counseling Amendments to RESPA/Regulation X</w:t>
        </w:r>
      </w:hyperlink>
      <w:r w:rsidRPr="00571DFC">
        <w:rPr>
          <w:rStyle w:val="EndnoteReference"/>
          <w:rFonts w:ascii="Georgia" w:hAnsi="Georgia"/>
          <w:sz w:val="18"/>
          <w:szCs w:val="18"/>
        </w:rPr>
        <w:endnoteReference w:id="63"/>
      </w:r>
      <w:r w:rsidRPr="00571DFC">
        <w:rPr>
          <w:rFonts w:ascii="Georgia" w:hAnsi="Georgia"/>
          <w:sz w:val="18"/>
          <w:szCs w:val="18"/>
        </w:rPr>
        <w:t xml:space="preserve"> implement</w:t>
      </w:r>
      <w:r>
        <w:rPr>
          <w:rFonts w:ascii="Georgia" w:hAnsi="Georgia"/>
          <w:sz w:val="18"/>
          <w:szCs w:val="18"/>
        </w:rPr>
        <w:t>s Dodd-Frank Act</w:t>
      </w:r>
      <w:r w:rsidRPr="00571DFC">
        <w:rPr>
          <w:rFonts w:ascii="Georgia" w:hAnsi="Georgia"/>
          <w:sz w:val="18"/>
          <w:szCs w:val="18"/>
        </w:rPr>
        <w:t xml:space="preserve"> amendments to </w:t>
      </w:r>
      <w:r>
        <w:rPr>
          <w:rFonts w:ascii="Georgia" w:hAnsi="Georgia"/>
          <w:sz w:val="18"/>
          <w:szCs w:val="18"/>
        </w:rPr>
        <w:t>TILA and</w:t>
      </w:r>
      <w:r w:rsidRPr="00571DFC">
        <w:rPr>
          <w:rFonts w:ascii="Georgia" w:hAnsi="Georgia"/>
          <w:sz w:val="18"/>
          <w:szCs w:val="18"/>
        </w:rPr>
        <w:t xml:space="preserve"> RESPA</w:t>
      </w:r>
      <w:r>
        <w:rPr>
          <w:rFonts w:ascii="Georgia" w:hAnsi="Georgia"/>
          <w:sz w:val="18"/>
          <w:szCs w:val="18"/>
        </w:rPr>
        <w:t>. Expands</w:t>
      </w:r>
      <w:r w:rsidRPr="00571DFC">
        <w:rPr>
          <w:rFonts w:ascii="Georgia" w:hAnsi="Georgia"/>
          <w:sz w:val="18"/>
          <w:szCs w:val="18"/>
        </w:rPr>
        <w:t xml:space="preserve"> t</w:t>
      </w:r>
      <w:r>
        <w:rPr>
          <w:rFonts w:ascii="Georgia" w:hAnsi="Georgia"/>
          <w:sz w:val="18"/>
          <w:szCs w:val="18"/>
        </w:rPr>
        <w:t>he types of mortgage loans</w:t>
      </w:r>
      <w:r w:rsidRPr="00571DFC">
        <w:rPr>
          <w:rFonts w:ascii="Georgia" w:hAnsi="Georgia"/>
          <w:sz w:val="18"/>
          <w:szCs w:val="18"/>
        </w:rPr>
        <w:t xml:space="preserve"> subject to the </w:t>
      </w:r>
      <w:r>
        <w:rPr>
          <w:rFonts w:ascii="Georgia" w:hAnsi="Georgia"/>
          <w:sz w:val="18"/>
          <w:szCs w:val="18"/>
        </w:rPr>
        <w:t>protections of HOEPA</w:t>
      </w:r>
      <w:r w:rsidRPr="00571DFC">
        <w:rPr>
          <w:rFonts w:ascii="Georgia" w:hAnsi="Georgia"/>
          <w:sz w:val="18"/>
          <w:szCs w:val="18"/>
        </w:rPr>
        <w:t>, revis</w:t>
      </w:r>
      <w:r>
        <w:rPr>
          <w:rFonts w:ascii="Georgia" w:hAnsi="Georgia"/>
          <w:sz w:val="18"/>
          <w:szCs w:val="18"/>
        </w:rPr>
        <w:t>es</w:t>
      </w:r>
      <w:r w:rsidRPr="00571DFC">
        <w:rPr>
          <w:rFonts w:ascii="Georgia" w:hAnsi="Georgia"/>
          <w:sz w:val="18"/>
          <w:szCs w:val="18"/>
        </w:rPr>
        <w:t xml:space="preserve"> and </w:t>
      </w:r>
      <w:r>
        <w:rPr>
          <w:rFonts w:ascii="Georgia" w:hAnsi="Georgia"/>
          <w:sz w:val="18"/>
          <w:szCs w:val="18"/>
        </w:rPr>
        <w:t>expands</w:t>
      </w:r>
      <w:r w:rsidRPr="00571DFC">
        <w:rPr>
          <w:rFonts w:ascii="Georgia" w:hAnsi="Georgia"/>
          <w:sz w:val="18"/>
          <w:szCs w:val="18"/>
        </w:rPr>
        <w:t xml:space="preserve"> the tests for co</w:t>
      </w:r>
      <w:r>
        <w:rPr>
          <w:rFonts w:ascii="Georgia" w:hAnsi="Georgia"/>
          <w:sz w:val="18"/>
          <w:szCs w:val="18"/>
        </w:rPr>
        <w:t>verage under HOEPA, and imposes</w:t>
      </w:r>
      <w:r w:rsidRPr="00571DFC">
        <w:rPr>
          <w:rFonts w:ascii="Georgia" w:hAnsi="Georgia"/>
          <w:sz w:val="18"/>
          <w:szCs w:val="18"/>
        </w:rPr>
        <w:t xml:space="preserve"> additional restrictions on mortgages that are covered by HOEPA, including a pre-loan counseling requirement.</w:t>
      </w:r>
    </w:p>
    <w:p w:rsidR="00606228" w:rsidRDefault="00606228" w:rsidP="00606228">
      <w:pPr>
        <w:pStyle w:val="NormalWeb"/>
        <w:ind w:left="1440" w:hanging="1440"/>
        <w:rPr>
          <w:rFonts w:ascii="Georgia" w:hAnsi="Georgia"/>
          <w:sz w:val="18"/>
          <w:szCs w:val="18"/>
        </w:rPr>
      </w:pPr>
      <w:r>
        <w:rPr>
          <w:rFonts w:ascii="Georgia" w:hAnsi="Georgia"/>
          <w:sz w:val="18"/>
          <w:szCs w:val="18"/>
        </w:rPr>
        <w:t>01.03.2014</w:t>
      </w:r>
      <w:r>
        <w:rPr>
          <w:rFonts w:ascii="Georgia" w:hAnsi="Georgia"/>
          <w:sz w:val="18"/>
          <w:szCs w:val="18"/>
        </w:rPr>
        <w:tab/>
      </w:r>
      <w:hyperlink r:id="rId103" w:history="1">
        <w:r w:rsidRPr="006F57E5">
          <w:rPr>
            <w:rStyle w:val="Hyperlink"/>
            <w:rFonts w:ascii="Georgia" w:hAnsi="Georgia"/>
            <w:sz w:val="18"/>
            <w:szCs w:val="18"/>
          </w:rPr>
          <w:t>FinCEN and Fed: Definitions of Transmittal of Funds and Funds Transfer</w:t>
        </w:r>
      </w:hyperlink>
      <w:r w:rsidRPr="006F57E5">
        <w:rPr>
          <w:rStyle w:val="EndnoteReference"/>
          <w:rFonts w:ascii="Georgia" w:hAnsi="Georgia"/>
          <w:sz w:val="18"/>
          <w:szCs w:val="18"/>
        </w:rPr>
        <w:endnoteReference w:id="64"/>
      </w:r>
      <w:r w:rsidRPr="00CC275D">
        <w:rPr>
          <w:rFonts w:ascii="Georgia" w:hAnsi="Georgia"/>
          <w:b/>
          <w:sz w:val="18"/>
          <w:szCs w:val="18"/>
        </w:rPr>
        <w:t xml:space="preserve"> </w:t>
      </w:r>
      <w:r w:rsidRPr="00CC275D">
        <w:rPr>
          <w:rFonts w:ascii="Georgia" w:hAnsi="Georgia"/>
          <w:sz w:val="18"/>
          <w:szCs w:val="18"/>
        </w:rPr>
        <w:t>FinCEN and the Fed are issuing this Final Rule amending the regulatory definitions of ‘‘funds transfer’’ and ‘‘transmittal of funds’’ under the regul</w:t>
      </w:r>
      <w:r w:rsidR="0059782F">
        <w:rPr>
          <w:rFonts w:ascii="Georgia" w:hAnsi="Georgia"/>
          <w:sz w:val="18"/>
          <w:szCs w:val="18"/>
        </w:rPr>
        <w:t xml:space="preserve">ations implementing the BSA. They </w:t>
      </w:r>
      <w:r w:rsidRPr="00CC275D">
        <w:rPr>
          <w:rFonts w:ascii="Georgia" w:hAnsi="Georgia"/>
          <w:sz w:val="18"/>
          <w:szCs w:val="18"/>
        </w:rPr>
        <w:t xml:space="preserve">are amending the definitions to maintain their current scope in light of changes to the EFTA, which will avoid certain currently covered transactions being excluded from BSA requirements. </w:t>
      </w:r>
    </w:p>
    <w:p w:rsidR="00606228" w:rsidRDefault="00606228" w:rsidP="00606228">
      <w:pPr>
        <w:ind w:left="1440" w:right="99" w:hanging="1440"/>
        <w:textAlignment w:val="baseline"/>
        <w:rPr>
          <w:rFonts w:ascii="Georgia" w:hAnsi="Georgia"/>
          <w:sz w:val="18"/>
          <w:szCs w:val="18"/>
        </w:rPr>
      </w:pPr>
      <w:r>
        <w:rPr>
          <w:rFonts w:ascii="Georgia" w:hAnsi="Georgia" w:cs="Helvetica"/>
          <w:sz w:val="18"/>
          <w:szCs w:val="18"/>
        </w:rPr>
        <w:t>01.01.2014</w:t>
      </w:r>
      <w:r>
        <w:rPr>
          <w:rFonts w:ascii="Georgia" w:hAnsi="Georgia" w:cs="Helvetica"/>
          <w:sz w:val="18"/>
          <w:szCs w:val="18"/>
        </w:rPr>
        <w:tab/>
      </w:r>
      <w:hyperlink r:id="rId104" w:history="1">
        <w:r w:rsidRPr="00EB75FB">
          <w:rPr>
            <w:rStyle w:val="Hyperlink"/>
            <w:rFonts w:ascii="Georgia" w:hAnsi="Georgia" w:cs="Arial"/>
            <w:sz w:val="18"/>
            <w:szCs w:val="18"/>
          </w:rPr>
          <w:t>FDIC: Interim rule revising risk-based and leverage capital requirements</w:t>
        </w:r>
      </w:hyperlink>
      <w:r w:rsidRPr="00EB75FB">
        <w:rPr>
          <w:rStyle w:val="EndnoteReference"/>
          <w:rFonts w:ascii="Georgia" w:hAnsi="Georgia"/>
          <w:color w:val="003366"/>
          <w:sz w:val="18"/>
          <w:szCs w:val="18"/>
        </w:rPr>
        <w:endnoteReference w:id="65"/>
      </w:r>
      <w:r w:rsidRPr="00EB75FB">
        <w:rPr>
          <w:rFonts w:ascii="Georgia" w:hAnsi="Georgia" w:cs="Arial"/>
          <w:color w:val="003366"/>
          <w:sz w:val="18"/>
          <w:szCs w:val="18"/>
        </w:rPr>
        <w:t xml:space="preserve"> </w:t>
      </w:r>
      <w:r w:rsidRPr="00EB75FB">
        <w:rPr>
          <w:rFonts w:ascii="Georgia" w:hAnsi="Georgia"/>
          <w:sz w:val="18"/>
          <w:szCs w:val="18"/>
        </w:rPr>
        <w:t>The FDIC adopted an interim final rule that revises its risk-based and leverage capital requirements for FDIC-supervised institutions. This interim final rule is substantially identical to a joint final rule issued by the OCC and the Federal Reserve (together, with the FDIC, the agencies).</w:t>
      </w:r>
    </w:p>
    <w:p w:rsidR="00606228" w:rsidRDefault="00606228" w:rsidP="00606228">
      <w:pPr>
        <w:pStyle w:val="NormalWeb"/>
        <w:ind w:left="1440" w:hanging="1440"/>
        <w:rPr>
          <w:rFonts w:ascii="Georgia" w:hAnsi="Georgia"/>
          <w:sz w:val="18"/>
          <w:szCs w:val="18"/>
        </w:rPr>
      </w:pPr>
      <w:r w:rsidRPr="00644386">
        <w:rPr>
          <w:rFonts w:ascii="Georgia" w:hAnsi="Georgia"/>
          <w:color w:val="auto"/>
          <w:sz w:val="18"/>
          <w:szCs w:val="18"/>
        </w:rPr>
        <w:t>01.01.2014</w:t>
      </w:r>
      <w:r w:rsidRPr="00644386">
        <w:rPr>
          <w:rFonts w:ascii="Georgia" w:hAnsi="Georgia"/>
          <w:sz w:val="18"/>
          <w:szCs w:val="18"/>
        </w:rPr>
        <w:tab/>
      </w:r>
      <w:hyperlink r:id="rId105" w:history="1">
        <w:r>
          <w:rPr>
            <w:rStyle w:val="Hyperlink"/>
            <w:rFonts w:ascii="Georgia" w:hAnsi="Georgia"/>
            <w:sz w:val="18"/>
            <w:szCs w:val="18"/>
          </w:rPr>
          <w:t>Fed: R</w:t>
        </w:r>
        <w:r w:rsidRPr="00644386">
          <w:rPr>
            <w:rStyle w:val="Hyperlink"/>
            <w:rFonts w:ascii="Georgia" w:hAnsi="Georgia"/>
            <w:sz w:val="18"/>
            <w:szCs w:val="18"/>
          </w:rPr>
          <w:t>egulatory Capital Rules (Basel III)</w:t>
        </w:r>
      </w:hyperlink>
      <w:r>
        <w:rPr>
          <w:rStyle w:val="EndnoteReference"/>
        </w:rPr>
        <w:endnoteReference w:id="66"/>
      </w:r>
      <w:r w:rsidRPr="00644386">
        <w:rPr>
          <w:rFonts w:ascii="Georgia" w:hAnsi="Georgia"/>
          <w:color w:val="auto"/>
          <w:sz w:val="18"/>
          <w:szCs w:val="18"/>
        </w:rPr>
        <w:t xml:space="preserve"> The Fed approved a Basel III final rule. The final rule minimizes burden on smaller, less complex financial institutions. For more details, refer to the </w:t>
      </w:r>
      <w:hyperlink r:id="rId106" w:history="1">
        <w:r w:rsidRPr="00644386">
          <w:rPr>
            <w:rStyle w:val="Hyperlink"/>
            <w:rFonts w:ascii="Georgia" w:hAnsi="Georgia"/>
            <w:sz w:val="18"/>
            <w:szCs w:val="18"/>
          </w:rPr>
          <w:t>Federal Reserve’s Press Release</w:t>
        </w:r>
      </w:hyperlink>
      <w:r w:rsidRPr="00644386">
        <w:rPr>
          <w:rStyle w:val="EndnoteReference"/>
          <w:rFonts w:ascii="Georgia" w:hAnsi="Georgia"/>
          <w:color w:val="auto"/>
          <w:sz w:val="18"/>
          <w:szCs w:val="18"/>
        </w:rPr>
        <w:endnoteReference w:id="67"/>
      </w:r>
      <w:r w:rsidRPr="00644386">
        <w:rPr>
          <w:rFonts w:ascii="Georgia" w:hAnsi="Georgia"/>
          <w:color w:val="auto"/>
          <w:sz w:val="18"/>
          <w:szCs w:val="18"/>
        </w:rPr>
        <w:t xml:space="preserve">. </w:t>
      </w:r>
      <w:r w:rsidRPr="00644386">
        <w:rPr>
          <w:rFonts w:ascii="Georgia" w:hAnsi="Georgia" w:cs="Arial"/>
          <w:sz w:val="18"/>
          <w:szCs w:val="18"/>
        </w:rPr>
        <w:t xml:space="preserve">The FDIC Board of Directors approved an </w:t>
      </w:r>
      <w:hyperlink r:id="rId107" w:history="1">
        <w:r w:rsidRPr="00644386">
          <w:rPr>
            <w:rStyle w:val="Hyperlink"/>
            <w:rFonts w:ascii="Georgia" w:hAnsi="Georgia" w:cs="Arial"/>
            <w:sz w:val="18"/>
            <w:szCs w:val="18"/>
          </w:rPr>
          <w:t>interim final rule</w:t>
        </w:r>
      </w:hyperlink>
      <w:r w:rsidRPr="00644386">
        <w:rPr>
          <w:rStyle w:val="EndnoteReference"/>
          <w:rFonts w:ascii="Georgia" w:hAnsi="Georgia"/>
          <w:sz w:val="18"/>
          <w:szCs w:val="18"/>
        </w:rPr>
        <w:endnoteReference w:id="68"/>
      </w:r>
      <w:r w:rsidRPr="00644386">
        <w:rPr>
          <w:rFonts w:ascii="Georgia" w:hAnsi="Georgia" w:cs="Arial"/>
          <w:sz w:val="18"/>
          <w:szCs w:val="18"/>
        </w:rPr>
        <w:t xml:space="preserve"> that adopts with revisions the three notices of proposed rulemaking (NPRs) that the banking agencies proposed last year related to Basel III and the standardized approach. The FDIC Board also approved a joint interagency </w:t>
      </w:r>
      <w:hyperlink r:id="rId108" w:history="1">
        <w:r w:rsidRPr="00644386">
          <w:rPr>
            <w:rStyle w:val="Hyperlink"/>
            <w:rFonts w:ascii="Georgia" w:hAnsi="Georgia" w:cs="Arial"/>
            <w:sz w:val="18"/>
            <w:szCs w:val="18"/>
          </w:rPr>
          <w:t>Notice of Proposed Rulemaking</w:t>
        </w:r>
      </w:hyperlink>
      <w:r w:rsidRPr="00644386">
        <w:rPr>
          <w:rStyle w:val="EndnoteReference"/>
          <w:rFonts w:ascii="Georgia" w:hAnsi="Georgia"/>
          <w:sz w:val="18"/>
          <w:szCs w:val="18"/>
        </w:rPr>
        <w:endnoteReference w:id="69"/>
      </w:r>
      <w:r w:rsidRPr="00644386">
        <w:rPr>
          <w:rFonts w:ascii="Georgia" w:hAnsi="Georgia" w:cs="Arial"/>
          <w:sz w:val="18"/>
          <w:szCs w:val="18"/>
        </w:rPr>
        <w:t xml:space="preserve"> to strengthen the supplementary leverage requirements for the largest most systemically important banking organizations.</w:t>
      </w:r>
      <w:r>
        <w:rPr>
          <w:rFonts w:ascii="Georgia" w:hAnsi="Georgia" w:cs="Arial"/>
          <w:sz w:val="18"/>
          <w:szCs w:val="18"/>
        </w:rPr>
        <w:t xml:space="preserve"> </w:t>
      </w:r>
      <w:r w:rsidRPr="00644386">
        <w:rPr>
          <w:rFonts w:ascii="Georgia" w:hAnsi="Georgia"/>
          <w:sz w:val="18"/>
          <w:szCs w:val="18"/>
        </w:rPr>
        <w:t>The OCC announced (</w:t>
      </w:r>
      <w:hyperlink r:id="rId109" w:history="1">
        <w:r w:rsidRPr="00644386">
          <w:rPr>
            <w:rStyle w:val="Hyperlink"/>
            <w:rFonts w:ascii="Georgia" w:hAnsi="Georgia"/>
            <w:sz w:val="18"/>
            <w:szCs w:val="18"/>
          </w:rPr>
          <w:t>NR 2013-110</w:t>
        </w:r>
      </w:hyperlink>
      <w:r w:rsidRPr="00644386">
        <w:rPr>
          <w:rStyle w:val="EndnoteReference"/>
          <w:rFonts w:ascii="Georgia" w:hAnsi="Georgia"/>
          <w:sz w:val="18"/>
          <w:szCs w:val="18"/>
        </w:rPr>
        <w:endnoteReference w:id="70"/>
      </w:r>
      <w:r w:rsidRPr="00644386">
        <w:rPr>
          <w:rFonts w:ascii="Georgia" w:hAnsi="Georgia"/>
          <w:sz w:val="18"/>
          <w:szCs w:val="18"/>
        </w:rPr>
        <w:t>) that it approved a final rule revising regulatory capital rules applicable to national banks and federal savings associations</w:t>
      </w:r>
      <w:r>
        <w:rPr>
          <w:rFonts w:ascii="Georgia" w:hAnsi="Georgia"/>
          <w:sz w:val="18"/>
          <w:szCs w:val="18"/>
        </w:rPr>
        <w:t>.</w:t>
      </w:r>
    </w:p>
    <w:p w:rsidR="00606228" w:rsidRDefault="00606228" w:rsidP="00606228">
      <w:pPr>
        <w:ind w:left="1440" w:hanging="1440"/>
        <w:rPr>
          <w:rFonts w:ascii="Georgia" w:hAnsi="Georgia"/>
          <w:sz w:val="18"/>
          <w:szCs w:val="18"/>
        </w:rPr>
      </w:pPr>
      <w:r>
        <w:rPr>
          <w:rFonts w:ascii="Georgia" w:hAnsi="Georgia"/>
          <w:sz w:val="18"/>
          <w:szCs w:val="18"/>
        </w:rPr>
        <w:t>11.04.2013</w:t>
      </w:r>
      <w:r>
        <w:rPr>
          <w:rFonts w:ascii="Georgia" w:hAnsi="Georgia"/>
          <w:sz w:val="18"/>
          <w:szCs w:val="18"/>
        </w:rPr>
        <w:tab/>
      </w:r>
      <w:hyperlink r:id="rId110" w:history="1">
        <w:r w:rsidRPr="00D8360E">
          <w:rPr>
            <w:rStyle w:val="Hyperlink"/>
            <w:rFonts w:ascii="Georgia" w:hAnsi="Georgia"/>
            <w:sz w:val="18"/>
            <w:szCs w:val="18"/>
          </w:rPr>
          <w:t>Final rule prohibiting issuing credit card unless ability to make payments is considered (Reg. Z)</w:t>
        </w:r>
      </w:hyperlink>
    </w:p>
    <w:p w:rsidR="00606228" w:rsidRDefault="00606228" w:rsidP="00A737D7">
      <w:pPr>
        <w:ind w:left="1440" w:hanging="1440"/>
        <w:rPr>
          <w:rFonts w:ascii="Georgia" w:hAnsi="Georgia"/>
          <w:sz w:val="18"/>
          <w:szCs w:val="18"/>
        </w:rPr>
      </w:pPr>
    </w:p>
    <w:p w:rsidR="00A737D7" w:rsidRPr="00BD1835" w:rsidRDefault="00A737D7" w:rsidP="00A737D7">
      <w:pPr>
        <w:ind w:left="1440" w:hanging="1440"/>
        <w:rPr>
          <w:rFonts w:ascii="Georgia" w:hAnsi="Georgia"/>
          <w:sz w:val="18"/>
          <w:szCs w:val="18"/>
        </w:rPr>
      </w:pPr>
      <w:r>
        <w:rPr>
          <w:rFonts w:ascii="Georgia" w:hAnsi="Georgia"/>
          <w:sz w:val="18"/>
          <w:szCs w:val="18"/>
        </w:rPr>
        <w:t>10.28.2013</w:t>
      </w:r>
      <w:r>
        <w:rPr>
          <w:rFonts w:ascii="Georgia" w:hAnsi="Georgia"/>
          <w:sz w:val="18"/>
          <w:szCs w:val="18"/>
        </w:rPr>
        <w:tab/>
      </w:r>
      <w:hyperlink r:id="rId111" w:history="1">
        <w:r w:rsidRPr="00D8360E">
          <w:rPr>
            <w:rStyle w:val="Hyperlink"/>
            <w:rFonts w:ascii="Georgia" w:hAnsi="Georgia"/>
            <w:sz w:val="18"/>
            <w:szCs w:val="18"/>
          </w:rPr>
          <w:t>CFPB: Final Consumer protection rule on international remittances (Reg. E)</w:t>
        </w:r>
      </w:hyperlink>
      <w:r>
        <w:rPr>
          <w:rStyle w:val="Hyperlink"/>
          <w:rFonts w:ascii="Georgia" w:hAnsi="Georgia"/>
          <w:color w:val="auto"/>
          <w:sz w:val="18"/>
          <w:szCs w:val="18"/>
          <w:u w:val="none"/>
        </w:rPr>
        <w:t xml:space="preserve"> This rule was followed by a clarification: </w:t>
      </w:r>
      <w:hyperlink r:id="rId112" w:history="1">
        <w:r w:rsidRPr="00BD1835">
          <w:rPr>
            <w:rStyle w:val="Hyperlink"/>
            <w:rFonts w:ascii="Georgia" w:hAnsi="Georgia"/>
            <w:noProof/>
            <w:sz w:val="18"/>
            <w:szCs w:val="18"/>
          </w:rPr>
          <w:t>CFPB Final Rule: Clarificatory amendment and technical correction to a final rule and official interpretation of disclosures for remittance transactions (Reg. E)</w:t>
        </w:r>
      </w:hyperlink>
    </w:p>
    <w:p w:rsidR="00A737D7" w:rsidRDefault="00A737D7" w:rsidP="00A737D7">
      <w:pPr>
        <w:ind w:left="1440" w:hanging="1440"/>
        <w:rPr>
          <w:rFonts w:ascii="Georgia" w:hAnsi="Georgia"/>
          <w:sz w:val="18"/>
          <w:szCs w:val="18"/>
        </w:rPr>
      </w:pPr>
    </w:p>
    <w:p w:rsidR="00846E2C" w:rsidRDefault="00846E2C" w:rsidP="00846E2C">
      <w:pPr>
        <w:ind w:left="1440" w:hanging="1440"/>
        <w:rPr>
          <w:rFonts w:ascii="Georgia" w:hAnsi="Georgia"/>
          <w:sz w:val="18"/>
          <w:szCs w:val="18"/>
        </w:rPr>
      </w:pPr>
      <w:r>
        <w:rPr>
          <w:rFonts w:ascii="Georgia" w:hAnsi="Georgia"/>
          <w:sz w:val="18"/>
          <w:szCs w:val="18"/>
        </w:rPr>
        <w:t>10.17.2013</w:t>
      </w:r>
      <w:r>
        <w:rPr>
          <w:rFonts w:ascii="Georgia" w:hAnsi="Georgia"/>
          <w:sz w:val="18"/>
          <w:szCs w:val="18"/>
        </w:rPr>
        <w:tab/>
      </w:r>
      <w:hyperlink r:id="rId113" w:history="1">
        <w:r w:rsidRPr="005E773D">
          <w:rPr>
            <w:rStyle w:val="Hyperlink"/>
            <w:rFonts w:ascii="Georgia" w:hAnsi="Georgia"/>
            <w:sz w:val="18"/>
            <w:szCs w:val="18"/>
          </w:rPr>
          <w:t>FHA approval of lending institutions and mortgagees: streamlined reporting requirements for small supervised lenders and mortgagees</w:t>
        </w:r>
      </w:hyperlink>
      <w:r w:rsidRPr="005E773D">
        <w:rPr>
          <w:rStyle w:val="EndnoteReference"/>
          <w:rFonts w:ascii="Georgia" w:hAnsi="Georgia"/>
          <w:sz w:val="18"/>
          <w:szCs w:val="18"/>
        </w:rPr>
        <w:endnoteReference w:id="71"/>
      </w:r>
      <w:r w:rsidRPr="005E773D">
        <w:rPr>
          <w:rFonts w:ascii="Georgia" w:hAnsi="Georgia"/>
          <w:sz w:val="18"/>
          <w:szCs w:val="18"/>
        </w:rPr>
        <w:t xml:space="preserve"> This rule streamlines the FHA financial statement reporting requirements for lenders and mortgagees who are supervised by federal banking agencies and whose consolidated assets do not meet the thresholds set by their supervising federal banking agencies for submission of audited financial statements (currently set at $500 million in consolidated assets).</w:t>
      </w:r>
    </w:p>
    <w:p w:rsidR="00846E2C" w:rsidRDefault="00846E2C" w:rsidP="00846E2C">
      <w:pPr>
        <w:ind w:left="1440" w:hanging="1440"/>
        <w:rPr>
          <w:rFonts w:ascii="Georgia" w:hAnsi="Georgia"/>
          <w:sz w:val="18"/>
          <w:szCs w:val="18"/>
        </w:rPr>
      </w:pPr>
    </w:p>
    <w:p w:rsidR="00C14278" w:rsidRPr="00C14278" w:rsidRDefault="00C14278" w:rsidP="00846E2C">
      <w:pPr>
        <w:ind w:left="1440" w:hanging="1440"/>
        <w:rPr>
          <w:rFonts w:ascii="Georgia" w:hAnsi="Georgia"/>
          <w:sz w:val="18"/>
          <w:szCs w:val="18"/>
        </w:rPr>
      </w:pPr>
      <w:r>
        <w:rPr>
          <w:rFonts w:ascii="Georgia" w:hAnsi="Georgia"/>
          <w:sz w:val="18"/>
          <w:szCs w:val="18"/>
        </w:rPr>
        <w:t>09.26.2013</w:t>
      </w:r>
      <w:r>
        <w:rPr>
          <w:rFonts w:ascii="Georgia" w:hAnsi="Georgia"/>
          <w:sz w:val="18"/>
          <w:szCs w:val="18"/>
        </w:rPr>
        <w:tab/>
      </w:r>
      <w:hyperlink r:id="rId114" w:history="1">
        <w:r w:rsidRPr="00C14278">
          <w:rPr>
            <w:rStyle w:val="Hyperlink"/>
            <w:rFonts w:ascii="Georgia" w:hAnsi="Georgia"/>
            <w:sz w:val="18"/>
            <w:szCs w:val="18"/>
          </w:rPr>
          <w:t>CFPB: Rules of Practice for Issuance of Temporary Cease-and-Desist Orders</w:t>
        </w:r>
      </w:hyperlink>
      <w:r w:rsidRPr="00C14278">
        <w:rPr>
          <w:rFonts w:ascii="Georgia" w:hAnsi="Georgia"/>
          <w:sz w:val="18"/>
          <w:szCs w:val="18"/>
        </w:rPr>
        <w:t xml:space="preserve"> The Dodd-Frank Act requires the CFPB to prescribe rules establishing procedures for the conduct of adjudication proceedings. On June 29, 2012, the Bureau published the final Rules of Practice for Adjudication Proceedings. That final rule, however, does not apply to the issuance of a temporary cease-and-desist order (TCDO) pursuant to section 1053(c) of the Dodd-Frank Act. The CFPB issued an interim final rule governing such issuance and seeks public comments. The interim final rule too</w:t>
      </w:r>
      <w:r>
        <w:rPr>
          <w:rFonts w:ascii="Georgia" w:hAnsi="Georgia"/>
          <w:sz w:val="18"/>
          <w:szCs w:val="18"/>
        </w:rPr>
        <w:t>k effect on September 26, 2013.</w:t>
      </w:r>
    </w:p>
    <w:p w:rsidR="00846E2C" w:rsidRDefault="00846E2C" w:rsidP="00571A10">
      <w:pPr>
        <w:ind w:left="1440" w:hanging="1440"/>
        <w:rPr>
          <w:rFonts w:ascii="Georgia" w:hAnsi="Georgia"/>
          <w:sz w:val="18"/>
          <w:szCs w:val="18"/>
        </w:rPr>
      </w:pPr>
    </w:p>
    <w:p w:rsidR="00571A10" w:rsidRPr="00055682" w:rsidRDefault="00571A10" w:rsidP="00571A10">
      <w:pPr>
        <w:ind w:left="1440" w:hanging="1440"/>
        <w:rPr>
          <w:rFonts w:ascii="Georgia" w:hAnsi="Georgia"/>
          <w:sz w:val="18"/>
          <w:szCs w:val="18"/>
        </w:rPr>
      </w:pPr>
      <w:r w:rsidRPr="00055682">
        <w:rPr>
          <w:rFonts w:ascii="Georgia" w:hAnsi="Georgia"/>
          <w:sz w:val="18"/>
          <w:szCs w:val="18"/>
        </w:rPr>
        <w:t>07.01.2013</w:t>
      </w:r>
      <w:r>
        <w:rPr>
          <w:rFonts w:ascii="Georgia" w:hAnsi="Georgia"/>
          <w:sz w:val="18"/>
          <w:szCs w:val="18"/>
        </w:rPr>
        <w:tab/>
        <w:t>FTC: A</w:t>
      </w:r>
      <w:r w:rsidRPr="00055682">
        <w:rPr>
          <w:rFonts w:ascii="Georgia" w:hAnsi="Georgia"/>
          <w:sz w:val="18"/>
          <w:szCs w:val="18"/>
        </w:rPr>
        <w:t>mends the Children's Online Privacy Protection Rule (“COPPA Rule” or “Rule”), consistent with the requirements of the Children's Online Privacy Protection Act, to clarify the scope of the Rule and strengthen its protections for children's personal information, in light of changes in online technology since the Rule went into effect in April 2000. The final amended Rule includes modifications to the definitions of operator, personal information, and Web site or online service directed to children. The amended Rule also updates the requirements set forth in the notice, parental consent, confidentiality and security, and safe harbor provisions, and adds a new provision addressing data retention and deletion.</w:t>
      </w:r>
      <w:r>
        <w:rPr>
          <w:rFonts w:ascii="Georgia" w:hAnsi="Georgia"/>
          <w:sz w:val="18"/>
          <w:szCs w:val="18"/>
        </w:rPr>
        <w:t xml:space="preserve"> (Comment: Financial institutions are subject to COPPA if </w:t>
      </w:r>
      <w:r>
        <w:rPr>
          <w:rFonts w:ascii="Georgia" w:hAnsi="Georgia"/>
          <w:sz w:val="18"/>
          <w:szCs w:val="18"/>
        </w:rPr>
        <w:lastRenderedPageBreak/>
        <w:t>they operate a website or online services directed to children or have actual knowledge that they are collecting or maintaining personal information from a child online.)</w:t>
      </w:r>
    </w:p>
    <w:bookmarkEnd w:id="9"/>
    <w:bookmarkEnd w:id="10"/>
    <w:bookmarkEnd w:id="11"/>
    <w:p w:rsidR="007F6D28" w:rsidRPr="00C35AC5" w:rsidRDefault="007F6D28" w:rsidP="009F14F9">
      <w:pPr>
        <w:pStyle w:val="NormalWeb"/>
        <w:pBdr>
          <w:bottom w:val="single" w:sz="12" w:space="1" w:color="auto"/>
        </w:pBdr>
        <w:rPr>
          <w:rFonts w:ascii="Arial" w:hAnsi="Arial" w:cs="Arial"/>
          <w:b/>
          <w:color w:val="auto"/>
        </w:rPr>
      </w:pPr>
    </w:p>
    <w:p w:rsidR="009F14F9" w:rsidRPr="00CD4331" w:rsidRDefault="00E144B3" w:rsidP="009F14F9">
      <w:pPr>
        <w:pStyle w:val="NormalWeb"/>
        <w:rPr>
          <w:rFonts w:ascii="Arial" w:hAnsi="Arial" w:cs="Arial"/>
          <w:b/>
          <w:color w:val="FF0000"/>
          <w:sz w:val="40"/>
          <w:szCs w:val="40"/>
        </w:rPr>
      </w:pPr>
      <w:r>
        <w:rPr>
          <w:rFonts w:ascii="Arial" w:hAnsi="Arial" w:cs="Arial"/>
          <w:b/>
          <w:color w:val="FF0000"/>
          <w:sz w:val="40"/>
          <w:szCs w:val="40"/>
        </w:rPr>
        <w:t xml:space="preserve">Common </w:t>
      </w:r>
      <w:r w:rsidR="009F14F9">
        <w:rPr>
          <w:rFonts w:ascii="Arial" w:hAnsi="Arial" w:cs="Arial"/>
          <w:b/>
          <w:color w:val="FF0000"/>
          <w:sz w:val="40"/>
          <w:szCs w:val="40"/>
        </w:rPr>
        <w:t>words, phrases, and</w:t>
      </w:r>
      <w:r w:rsidR="009F14F9" w:rsidRPr="00CD4331">
        <w:rPr>
          <w:rFonts w:ascii="Arial" w:hAnsi="Arial" w:cs="Arial"/>
          <w:b/>
          <w:color w:val="FF0000"/>
          <w:sz w:val="40"/>
          <w:szCs w:val="40"/>
        </w:rPr>
        <w:t xml:space="preserve"> acronyms</w:t>
      </w:r>
    </w:p>
    <w:p w:rsidR="00C35AC5" w:rsidRDefault="00C35AC5" w:rsidP="008F329A">
      <w:pPr>
        <w:spacing w:before="100" w:beforeAutospacing="1" w:after="100" w:afterAutospacing="1"/>
        <w:rPr>
          <w:rFonts w:ascii="Georgia" w:hAnsi="Georgia"/>
          <w:sz w:val="16"/>
          <w:szCs w:val="16"/>
        </w:rPr>
        <w:sectPr w:rsidR="00C35AC5" w:rsidSect="00C35AC5">
          <w:footerReference w:type="default" r:id="rId115"/>
          <w:endnotePr>
            <w:numFmt w:val="decimal"/>
          </w:endnotePr>
          <w:type w:val="continuous"/>
          <w:pgSz w:w="12240" w:h="15840" w:code="1"/>
          <w:pgMar w:top="1440" w:right="1440" w:bottom="1440" w:left="1440" w:header="720" w:footer="720" w:gutter="0"/>
          <w:cols w:sep="1" w:space="720"/>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068"/>
        <w:gridCol w:w="2242"/>
      </w:tblGrid>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lastRenderedPageBreak/>
              <w:t>APOR</w:t>
            </w:r>
          </w:p>
        </w:tc>
        <w:tc>
          <w:tcPr>
            <w:tcW w:w="2383"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“Average Prime Offer Rates” are derived from average interest rates, points, and other pricing terms offered by a representative sample of creditors for mortgage transactions that have low-risk pricing characteristics.</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ATM</w:t>
            </w:r>
          </w:p>
        </w:tc>
        <w:tc>
          <w:tcPr>
            <w:tcW w:w="2383"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Automated Teller Machine</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CARD Act</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16" w:history="1">
              <w:r w:rsidR="009F14F9" w:rsidRPr="00F62510">
                <w:rPr>
                  <w:rStyle w:val="Hyperlink"/>
                  <w:rFonts w:ascii="Georgia" w:hAnsi="Georgia"/>
                  <w:sz w:val="16"/>
                  <w:szCs w:val="16"/>
                </w:rPr>
                <w:t>Credit Card Accountability Responsibility and Disclosure Act of 2009</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CFPB</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17" w:history="1">
              <w:r w:rsidR="009F14F9" w:rsidRPr="00F62510">
                <w:rPr>
                  <w:rStyle w:val="Hyperlink"/>
                  <w:rFonts w:ascii="Georgia" w:hAnsi="Georgia"/>
                  <w:sz w:val="16"/>
                  <w:szCs w:val="16"/>
                </w:rPr>
                <w:t>Consumer Financial Protection Bureau</w:t>
              </w:r>
            </w:hyperlink>
            <w:r w:rsidR="009F14F9" w:rsidRPr="00F62510">
              <w:rPr>
                <w:rFonts w:ascii="Georgia" w:hAnsi="Georgia"/>
                <w:sz w:val="16"/>
                <w:szCs w:val="16"/>
              </w:rPr>
              <w:t xml:space="preserve"> </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CFR</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18" w:history="1">
              <w:r w:rsidR="009F14F9" w:rsidRPr="00F62510">
                <w:rPr>
                  <w:rStyle w:val="Hyperlink"/>
                  <w:rFonts w:ascii="Georgia" w:hAnsi="Georgia"/>
                  <w:sz w:val="16"/>
                  <w:szCs w:val="16"/>
                </w:rPr>
                <w:t>Code of Federal Regulations</w:t>
              </w:r>
            </w:hyperlink>
            <w:r w:rsidR="009F14F9" w:rsidRPr="00F62510">
              <w:rPr>
                <w:rFonts w:ascii="Georgia" w:hAnsi="Georgia"/>
                <w:sz w:val="16"/>
                <w:szCs w:val="16"/>
              </w:rPr>
              <w:t>. Codification of rules and regulations of federal agencies.</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CRA</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19" w:history="1">
              <w:r w:rsidR="009F14F9" w:rsidRPr="00F62510">
                <w:rPr>
                  <w:rStyle w:val="Hyperlink"/>
                  <w:rFonts w:ascii="Georgia" w:hAnsi="Georgia"/>
                  <w:sz w:val="16"/>
                  <w:szCs w:val="16"/>
                </w:rPr>
                <w:t>Community Reinvestment Act</w:t>
              </w:r>
            </w:hyperlink>
            <w:r w:rsidR="009F14F9" w:rsidRPr="00F62510">
              <w:rPr>
                <w:rFonts w:ascii="Georgia" w:hAnsi="Georgia"/>
                <w:sz w:val="16"/>
                <w:szCs w:val="16"/>
              </w:rPr>
              <w:t>. This Act is designed to encourage loans in all segments of communities.</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CRE</w:t>
            </w:r>
          </w:p>
        </w:tc>
        <w:tc>
          <w:tcPr>
            <w:tcW w:w="2383"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Commercial Real Estate</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CSBS</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0" w:history="1">
              <w:r w:rsidR="009F14F9" w:rsidRPr="008C65B0">
                <w:rPr>
                  <w:rStyle w:val="Hyperlink"/>
                  <w:rFonts w:ascii="Georgia" w:hAnsi="Georgia"/>
                  <w:sz w:val="16"/>
                  <w:szCs w:val="16"/>
                </w:rPr>
                <w:t>Conference</w:t>
              </w:r>
              <w:r w:rsidR="009F14F9" w:rsidRPr="00F62510">
                <w:rPr>
                  <w:rStyle w:val="Hyperlink"/>
                  <w:rFonts w:ascii="Georgia" w:hAnsi="Georgia"/>
                  <w:sz w:val="16"/>
                  <w:szCs w:val="16"/>
                </w:rPr>
                <w:t xml:space="preserve"> of State Bank Supervisors</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CTR</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1" w:history="1">
              <w:r w:rsidR="009F14F9" w:rsidRPr="00F62510">
                <w:rPr>
                  <w:rStyle w:val="Hyperlink"/>
                  <w:rFonts w:ascii="Georgia" w:hAnsi="Georgia"/>
                  <w:sz w:val="16"/>
                  <w:szCs w:val="16"/>
                </w:rPr>
                <w:t>Currency Transaction Report</w:t>
              </w:r>
            </w:hyperlink>
            <w:r w:rsidR="009F14F9" w:rsidRPr="00F62510">
              <w:rPr>
                <w:rFonts w:ascii="Georgia" w:hAnsi="Georgia"/>
                <w:sz w:val="16"/>
                <w:szCs w:val="16"/>
              </w:rPr>
              <w:t>. Filed for each deposit, withdrawal, exchange of currency that involves a transaction in currency of more than $10,000.</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Dodd-Frank Act</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2" w:history="1">
              <w:r w:rsidR="009F14F9" w:rsidRPr="00F62510">
                <w:rPr>
                  <w:rStyle w:val="Hyperlink"/>
                  <w:rFonts w:ascii="Georgia" w:hAnsi="Georgia"/>
                  <w:sz w:val="16"/>
                  <w:szCs w:val="16"/>
                </w:rPr>
                <w:t>The Dodd–Frank Wall Street Reform and Consumer Protection Act</w:t>
              </w:r>
            </w:hyperlink>
          </w:p>
        </w:tc>
      </w:tr>
      <w:tr w:rsidR="008E615F" w:rsidRPr="00F62510" w:rsidTr="00392919">
        <w:trPr>
          <w:tblCellSpacing w:w="0" w:type="dxa"/>
        </w:trPr>
        <w:tc>
          <w:tcPr>
            <w:tcW w:w="2237" w:type="dxa"/>
            <w:vAlign w:val="center"/>
            <w:hideMark/>
          </w:tcPr>
          <w:p w:rsidR="008E615F" w:rsidRPr="00F62510" w:rsidRDefault="008E615F" w:rsidP="008F329A">
            <w:pPr>
              <w:spacing w:before="100" w:beforeAutospacing="1" w:after="100" w:afterAutospacing="1"/>
              <w:rPr>
                <w:rFonts w:ascii="Georgia" w:hAnsi="Georgia"/>
                <w:sz w:val="16"/>
                <w:szCs w:val="16"/>
              </w:rPr>
            </w:pPr>
            <w:r>
              <w:rPr>
                <w:rFonts w:ascii="Georgia" w:hAnsi="Georgia"/>
                <w:sz w:val="16"/>
                <w:szCs w:val="16"/>
              </w:rPr>
              <w:t>DOJ</w:t>
            </w:r>
          </w:p>
        </w:tc>
        <w:tc>
          <w:tcPr>
            <w:tcW w:w="2383" w:type="dxa"/>
            <w:vAlign w:val="center"/>
            <w:hideMark/>
          </w:tcPr>
          <w:p w:rsidR="008E615F" w:rsidRPr="008E615F" w:rsidRDefault="006B55C4" w:rsidP="008F329A">
            <w:pPr>
              <w:spacing w:before="100" w:beforeAutospacing="1" w:after="100" w:afterAutospacing="1"/>
              <w:rPr>
                <w:rFonts w:ascii="Georgia" w:hAnsi="Georgia"/>
                <w:sz w:val="16"/>
                <w:szCs w:val="16"/>
              </w:rPr>
            </w:pPr>
            <w:hyperlink r:id="rId123" w:history="1">
              <w:r w:rsidR="008E615F" w:rsidRPr="008E615F">
                <w:rPr>
                  <w:rStyle w:val="Hyperlink"/>
                  <w:rFonts w:ascii="Georgia" w:hAnsi="Georgia"/>
                  <w:sz w:val="16"/>
                  <w:szCs w:val="16"/>
                </w:rPr>
                <w:t>Department of Justice</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 xml:space="preserve">FDIC </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4" w:history="1">
              <w:r w:rsidR="009F14F9" w:rsidRPr="00F62510">
                <w:rPr>
                  <w:rStyle w:val="Hyperlink"/>
                  <w:rFonts w:ascii="Georgia" w:hAnsi="Georgia"/>
                  <w:sz w:val="16"/>
                  <w:szCs w:val="16"/>
                </w:rPr>
                <w:t>Federal Deposit Insurance Corporation</w:t>
              </w:r>
            </w:hyperlink>
            <w:r w:rsidR="009F14F9" w:rsidRPr="00F62510">
              <w:rPr>
                <w:rFonts w:ascii="Georgia" w:hAnsi="Georgia"/>
                <w:sz w:val="16"/>
                <w:szCs w:val="16"/>
              </w:rPr>
              <w:t xml:space="preserve"> </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lastRenderedPageBreak/>
              <w:t>EFTA</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5" w:history="1">
              <w:r w:rsidR="009F14F9" w:rsidRPr="00F62510">
                <w:rPr>
                  <w:rStyle w:val="Hyperlink"/>
                  <w:rFonts w:ascii="Georgia" w:hAnsi="Georgia"/>
                  <w:sz w:val="16"/>
                  <w:szCs w:val="16"/>
                </w:rPr>
                <w:t>Electronic Fund Transfer Act</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 xml:space="preserve">Federal bank regulatory agencies </w:t>
            </w:r>
          </w:p>
        </w:tc>
        <w:tc>
          <w:tcPr>
            <w:tcW w:w="2383"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 xml:space="preserve">FDIC, FRB, and OCC </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 xml:space="preserve">Federal financial institution regulatory agencies </w:t>
            </w:r>
          </w:p>
        </w:tc>
        <w:tc>
          <w:tcPr>
            <w:tcW w:w="2383"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 xml:space="preserve">CFPB, FDIC, FRB, NCUA, and OCC </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FEMA</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6" w:history="1">
              <w:r w:rsidR="009F14F9" w:rsidRPr="00F62510">
                <w:rPr>
                  <w:rStyle w:val="Hyperlink"/>
                  <w:rFonts w:ascii="Georgia" w:hAnsi="Georgia"/>
                  <w:sz w:val="16"/>
                  <w:szCs w:val="16"/>
                </w:rPr>
                <w:t>Federal Emergency Management Agency</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FFIEC</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7" w:history="1">
              <w:r w:rsidR="009F14F9" w:rsidRPr="00F62510">
                <w:rPr>
                  <w:rStyle w:val="Hyperlink"/>
                  <w:rFonts w:ascii="Georgia" w:hAnsi="Georgia"/>
                  <w:sz w:val="16"/>
                  <w:szCs w:val="16"/>
                </w:rPr>
                <w:t>Federal Financial Institutions Examination Council</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FHFA</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8" w:history="1">
              <w:r w:rsidR="009F14F9" w:rsidRPr="00F62510">
                <w:rPr>
                  <w:rStyle w:val="Hyperlink"/>
                  <w:rFonts w:ascii="Georgia" w:hAnsi="Georgia"/>
                  <w:sz w:val="16"/>
                  <w:szCs w:val="16"/>
                </w:rPr>
                <w:t>Federal Housing Finance Agency</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FHA</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29" w:history="1">
              <w:r w:rsidR="009F14F9" w:rsidRPr="00F62510">
                <w:rPr>
                  <w:rStyle w:val="Hyperlink"/>
                  <w:rFonts w:ascii="Georgia" w:hAnsi="Georgia"/>
                  <w:sz w:val="16"/>
                  <w:szCs w:val="16"/>
                </w:rPr>
                <w:t>Federal Housing Administration</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FinCEN</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30" w:history="1">
              <w:r w:rsidR="009F14F9" w:rsidRPr="00F62510">
                <w:rPr>
                  <w:rStyle w:val="Hyperlink"/>
                  <w:rFonts w:ascii="Georgia" w:hAnsi="Georgia"/>
                  <w:sz w:val="16"/>
                  <w:szCs w:val="16"/>
                </w:rPr>
                <w:t>Financial Crime Enforcement Network</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FR</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31" w:history="1">
              <w:r w:rsidR="009F14F9" w:rsidRPr="00F62510">
                <w:rPr>
                  <w:rStyle w:val="Hyperlink"/>
                  <w:rFonts w:ascii="Georgia" w:hAnsi="Georgia"/>
                  <w:sz w:val="16"/>
                  <w:szCs w:val="16"/>
                </w:rPr>
                <w:t>Federal Register</w:t>
              </w:r>
            </w:hyperlink>
            <w:r w:rsidR="009F14F9" w:rsidRPr="00F62510">
              <w:rPr>
                <w:rFonts w:ascii="Georgia" w:hAnsi="Georgia"/>
                <w:sz w:val="16"/>
                <w:szCs w:val="16"/>
              </w:rPr>
              <w:t>. U.S. government daily publication that contains proposed and final administrative regulations of federal agencies.</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 xml:space="preserve">FRB </w:t>
            </w:r>
            <w:r w:rsidR="008A1C05" w:rsidRPr="00F62510">
              <w:rPr>
                <w:rFonts w:ascii="Georgia" w:hAnsi="Georgia"/>
                <w:sz w:val="16"/>
                <w:szCs w:val="16"/>
              </w:rPr>
              <w:t>(or Fed)</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32" w:history="1">
              <w:r w:rsidR="009F14F9" w:rsidRPr="00F62510">
                <w:rPr>
                  <w:rStyle w:val="Hyperlink"/>
                  <w:rFonts w:ascii="Georgia" w:hAnsi="Georgia"/>
                  <w:sz w:val="16"/>
                  <w:szCs w:val="16"/>
                </w:rPr>
                <w:t>Federal Reserve Board</w:t>
              </w:r>
            </w:hyperlink>
            <w:r w:rsidR="009F14F9" w:rsidRPr="00F62510">
              <w:rPr>
                <w:rFonts w:ascii="Georgia" w:hAnsi="Georgia"/>
                <w:sz w:val="16"/>
                <w:szCs w:val="16"/>
              </w:rPr>
              <w:t xml:space="preserve"> </w:t>
            </w:r>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FSOC</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33" w:history="1">
              <w:r w:rsidR="009F14F9" w:rsidRPr="00F62510">
                <w:rPr>
                  <w:rStyle w:val="Hyperlink"/>
                  <w:rFonts w:ascii="Georgia" w:hAnsi="Georgia"/>
                  <w:sz w:val="16"/>
                  <w:szCs w:val="16"/>
                </w:rPr>
                <w:t>Financial Stability Oversight Council</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FTC</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34" w:history="1">
              <w:r w:rsidR="009F14F9" w:rsidRPr="00F62510">
                <w:rPr>
                  <w:rStyle w:val="Hyperlink"/>
                  <w:rFonts w:ascii="Georgia" w:hAnsi="Georgia"/>
                  <w:sz w:val="16"/>
                  <w:szCs w:val="16"/>
                </w:rPr>
                <w:t>Federal Trade Commission</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GAO</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35" w:history="1">
              <w:r w:rsidR="009F14F9" w:rsidRPr="00F62510">
                <w:rPr>
                  <w:rStyle w:val="Hyperlink"/>
                  <w:rFonts w:ascii="Georgia" w:hAnsi="Georgia"/>
                  <w:sz w:val="16"/>
                  <w:szCs w:val="16"/>
                </w:rPr>
                <w:t>Government Accountability Office</w:t>
              </w:r>
            </w:hyperlink>
          </w:p>
        </w:tc>
      </w:tr>
      <w:tr w:rsidR="002B77D8" w:rsidRPr="00F62510" w:rsidTr="00392919">
        <w:trPr>
          <w:tblCellSpacing w:w="0" w:type="dxa"/>
        </w:trPr>
        <w:tc>
          <w:tcPr>
            <w:tcW w:w="2237" w:type="dxa"/>
            <w:vAlign w:val="center"/>
          </w:tcPr>
          <w:p w:rsidR="002B77D8" w:rsidRPr="00F62510" w:rsidRDefault="002B77D8" w:rsidP="008F329A">
            <w:pPr>
              <w:spacing w:before="100" w:beforeAutospacing="1" w:after="100" w:afterAutospacing="1"/>
              <w:rPr>
                <w:rFonts w:ascii="Georgia" w:hAnsi="Georgia"/>
                <w:sz w:val="16"/>
                <w:szCs w:val="16"/>
              </w:rPr>
            </w:pPr>
            <w:r w:rsidRPr="00F62510">
              <w:rPr>
                <w:rFonts w:ascii="Georgia" w:hAnsi="Georgia"/>
                <w:sz w:val="16"/>
                <w:szCs w:val="16"/>
              </w:rPr>
              <w:t>HARP</w:t>
            </w:r>
          </w:p>
        </w:tc>
        <w:tc>
          <w:tcPr>
            <w:tcW w:w="2383" w:type="dxa"/>
            <w:vAlign w:val="center"/>
          </w:tcPr>
          <w:p w:rsidR="002B77D8" w:rsidRPr="00F62510" w:rsidRDefault="006B55C4" w:rsidP="008F329A">
            <w:pPr>
              <w:spacing w:before="100" w:beforeAutospacing="1" w:after="100" w:afterAutospacing="1"/>
              <w:rPr>
                <w:rFonts w:ascii="Georgia" w:hAnsi="Georgia"/>
                <w:sz w:val="16"/>
                <w:szCs w:val="16"/>
              </w:rPr>
            </w:pPr>
            <w:hyperlink r:id="rId136" w:history="1">
              <w:r w:rsidR="002B77D8" w:rsidRPr="00F62510">
                <w:rPr>
                  <w:rStyle w:val="Hyperlink"/>
                  <w:rFonts w:ascii="Georgia" w:hAnsi="Georgia"/>
                  <w:sz w:val="16"/>
                  <w:szCs w:val="16"/>
                </w:rPr>
                <w:t>Home Affordable Refinance Program</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lastRenderedPageBreak/>
              <w:t>HAMP</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37" w:history="1">
              <w:r w:rsidR="009F14F9" w:rsidRPr="00F62510">
                <w:rPr>
                  <w:rStyle w:val="Hyperlink"/>
                  <w:rFonts w:ascii="Georgia" w:hAnsi="Georgia"/>
                  <w:sz w:val="16"/>
                  <w:szCs w:val="16"/>
                </w:rPr>
                <w:t>Home Affordable Modification Program</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HMDA</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38" w:history="1">
              <w:r w:rsidR="009F14F9" w:rsidRPr="00F62510">
                <w:rPr>
                  <w:rStyle w:val="Hyperlink"/>
                  <w:rFonts w:ascii="Georgia" w:hAnsi="Georgia"/>
                  <w:sz w:val="16"/>
                  <w:szCs w:val="16"/>
                </w:rPr>
                <w:t>Home Mortgage Disclosure Act</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HOEPA</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39" w:history="1">
              <w:r w:rsidR="009F14F9" w:rsidRPr="00F62510">
                <w:rPr>
                  <w:rStyle w:val="Hyperlink"/>
                  <w:rFonts w:ascii="Georgia" w:hAnsi="Georgia"/>
                  <w:sz w:val="16"/>
                  <w:szCs w:val="16"/>
                </w:rPr>
                <w:t>Home Ownership and Equity Protections Act of 1994</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HPML</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40" w:anchor="12:8.0.2.14.18.5.1.5" w:history="1">
              <w:r w:rsidR="009F14F9" w:rsidRPr="00F62510">
                <w:rPr>
                  <w:rStyle w:val="Hyperlink"/>
                  <w:rFonts w:ascii="Georgia" w:hAnsi="Georgia"/>
                  <w:sz w:val="16"/>
                  <w:szCs w:val="16"/>
                </w:rPr>
                <w:t>Higher Priced Mortgage Loan</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HUD</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41" w:history="1">
              <w:r w:rsidR="009F14F9" w:rsidRPr="00F62510">
                <w:rPr>
                  <w:rStyle w:val="Hyperlink"/>
                  <w:rFonts w:ascii="Georgia" w:hAnsi="Georgia"/>
                  <w:sz w:val="16"/>
                  <w:szCs w:val="16"/>
                </w:rPr>
                <w:t>U.S. Department of Housing and Urban Development</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IRS</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42" w:history="1">
              <w:r w:rsidR="009F14F9" w:rsidRPr="00F62510">
                <w:rPr>
                  <w:rStyle w:val="Hyperlink"/>
                  <w:rFonts w:ascii="Georgia" w:hAnsi="Georgia"/>
                  <w:sz w:val="16"/>
                  <w:szCs w:val="16"/>
                </w:rPr>
                <w:t>Internal Revenue Service</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MLO</w:t>
            </w:r>
          </w:p>
        </w:tc>
        <w:tc>
          <w:tcPr>
            <w:tcW w:w="2383"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Mortgage Loan Originator</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MOU</w:t>
            </w:r>
          </w:p>
        </w:tc>
        <w:tc>
          <w:tcPr>
            <w:tcW w:w="2383"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Memorandum of Understanding</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NFIP</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43" w:history="1">
              <w:r w:rsidR="009F14F9" w:rsidRPr="00F62510">
                <w:rPr>
                  <w:rStyle w:val="Hyperlink"/>
                  <w:rFonts w:ascii="Georgia" w:hAnsi="Georgia"/>
                  <w:sz w:val="16"/>
                  <w:szCs w:val="16"/>
                </w:rPr>
                <w:t>National Flood Insurance Program</w:t>
              </w:r>
            </w:hyperlink>
            <w:r w:rsidR="009F14F9" w:rsidRPr="00F62510">
              <w:rPr>
                <w:rFonts w:ascii="Georgia" w:hAnsi="Georgia"/>
                <w:sz w:val="16"/>
                <w:szCs w:val="16"/>
              </w:rPr>
              <w:t>. U.S. government program to allow the purchase of flood insurance from the government.</w:t>
            </w:r>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NMLS</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44" w:history="1">
              <w:r w:rsidR="009F14F9" w:rsidRPr="00F62510">
                <w:rPr>
                  <w:rStyle w:val="Hyperlink"/>
                  <w:rFonts w:ascii="Georgia" w:hAnsi="Georgia"/>
                  <w:sz w:val="16"/>
                  <w:szCs w:val="16"/>
                </w:rPr>
                <w:t>National Mortgage Licensing System</w:t>
              </w:r>
            </w:hyperlink>
          </w:p>
        </w:tc>
      </w:tr>
      <w:tr w:rsidR="009F14F9" w:rsidRPr="00F62510" w:rsidTr="00392919">
        <w:trPr>
          <w:tblCellSpacing w:w="0" w:type="dxa"/>
        </w:trPr>
        <w:tc>
          <w:tcPr>
            <w:tcW w:w="2237" w:type="dxa"/>
            <w:vAlign w:val="center"/>
            <w:hideMark/>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 xml:space="preserve">OCC </w:t>
            </w:r>
          </w:p>
        </w:tc>
        <w:tc>
          <w:tcPr>
            <w:tcW w:w="2383" w:type="dxa"/>
            <w:vAlign w:val="center"/>
            <w:hideMark/>
          </w:tcPr>
          <w:p w:rsidR="009F14F9" w:rsidRPr="00F62510" w:rsidRDefault="006B55C4" w:rsidP="008F329A">
            <w:pPr>
              <w:spacing w:before="100" w:beforeAutospacing="1" w:after="100" w:afterAutospacing="1"/>
              <w:rPr>
                <w:rFonts w:ascii="Georgia" w:hAnsi="Georgia"/>
                <w:sz w:val="16"/>
                <w:szCs w:val="16"/>
              </w:rPr>
            </w:pPr>
            <w:hyperlink r:id="rId145" w:history="1">
              <w:r w:rsidR="009F14F9" w:rsidRPr="00F62510">
                <w:rPr>
                  <w:rStyle w:val="Hyperlink"/>
                  <w:rFonts w:ascii="Georgia" w:hAnsi="Georgia"/>
                  <w:sz w:val="16"/>
                  <w:szCs w:val="16"/>
                </w:rPr>
                <w:t>Office of the Comptroller of the Currency</w:t>
              </w:r>
            </w:hyperlink>
            <w:r w:rsidR="009F14F9" w:rsidRPr="00F62510">
              <w:rPr>
                <w:rFonts w:ascii="Georgia" w:hAnsi="Georgia"/>
                <w:sz w:val="16"/>
                <w:szCs w:val="16"/>
              </w:rPr>
              <w:t xml:space="preserve"> </w:t>
            </w:r>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OFAC</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46" w:history="1">
              <w:r w:rsidR="009F14F9" w:rsidRPr="00F62510">
                <w:rPr>
                  <w:rStyle w:val="Hyperlink"/>
                  <w:rFonts w:ascii="Georgia" w:hAnsi="Georgia"/>
                  <w:sz w:val="16"/>
                  <w:szCs w:val="16"/>
                </w:rPr>
                <w:t>Office of Foreign Asset Control</w:t>
              </w:r>
            </w:hyperlink>
          </w:p>
        </w:tc>
      </w:tr>
      <w:tr w:rsidR="007D35D1" w:rsidRPr="00F62510" w:rsidTr="00392919">
        <w:trPr>
          <w:tblCellSpacing w:w="0" w:type="dxa"/>
        </w:trPr>
        <w:tc>
          <w:tcPr>
            <w:tcW w:w="2237" w:type="dxa"/>
            <w:vAlign w:val="center"/>
          </w:tcPr>
          <w:p w:rsidR="007D35D1" w:rsidRPr="00F62510" w:rsidRDefault="007D35D1" w:rsidP="008F329A">
            <w:pPr>
              <w:spacing w:before="100" w:beforeAutospacing="1" w:after="100" w:afterAutospacing="1"/>
              <w:rPr>
                <w:rFonts w:ascii="Georgia" w:hAnsi="Georgia"/>
                <w:sz w:val="16"/>
                <w:szCs w:val="16"/>
              </w:rPr>
            </w:pPr>
            <w:r w:rsidRPr="00F62510">
              <w:rPr>
                <w:rFonts w:ascii="Georgia" w:hAnsi="Georgia"/>
                <w:sz w:val="16"/>
                <w:szCs w:val="16"/>
              </w:rPr>
              <w:t>OREO</w:t>
            </w:r>
          </w:p>
        </w:tc>
        <w:tc>
          <w:tcPr>
            <w:tcW w:w="2383" w:type="dxa"/>
            <w:vAlign w:val="center"/>
          </w:tcPr>
          <w:p w:rsidR="007D35D1" w:rsidRPr="00F62510" w:rsidRDefault="006B55C4" w:rsidP="008F329A">
            <w:pPr>
              <w:spacing w:before="100" w:beforeAutospacing="1" w:after="100" w:afterAutospacing="1"/>
              <w:rPr>
                <w:rFonts w:ascii="Georgia" w:hAnsi="Georgia"/>
                <w:sz w:val="16"/>
                <w:szCs w:val="16"/>
              </w:rPr>
            </w:pPr>
            <w:hyperlink r:id="rId147" w:history="1">
              <w:r w:rsidR="007D35D1" w:rsidRPr="00F62510">
                <w:rPr>
                  <w:rStyle w:val="Hyperlink"/>
                  <w:rFonts w:ascii="Georgia" w:hAnsi="Georgia"/>
                  <w:sz w:val="16"/>
                  <w:szCs w:val="16"/>
                </w:rPr>
                <w:t>Other Real Estate Owned</w:t>
              </w:r>
            </w:hyperlink>
          </w:p>
        </w:tc>
      </w:tr>
      <w:tr w:rsidR="00AA6EC3" w:rsidRPr="00F62510" w:rsidTr="00392919">
        <w:trPr>
          <w:tblCellSpacing w:w="0" w:type="dxa"/>
        </w:trPr>
        <w:tc>
          <w:tcPr>
            <w:tcW w:w="2237" w:type="dxa"/>
            <w:vAlign w:val="center"/>
          </w:tcPr>
          <w:p w:rsidR="00AA6EC3" w:rsidRPr="00F62510" w:rsidRDefault="00AA6EC3" w:rsidP="008F329A">
            <w:pPr>
              <w:spacing w:before="100" w:beforeAutospacing="1" w:after="100" w:afterAutospacing="1"/>
              <w:rPr>
                <w:rFonts w:ascii="Georgia" w:hAnsi="Georgia"/>
                <w:sz w:val="16"/>
                <w:szCs w:val="16"/>
              </w:rPr>
            </w:pPr>
            <w:r w:rsidRPr="00F62510">
              <w:rPr>
                <w:rFonts w:ascii="Georgia" w:hAnsi="Georgia"/>
                <w:sz w:val="16"/>
                <w:szCs w:val="16"/>
              </w:rPr>
              <w:t>QRM</w:t>
            </w:r>
          </w:p>
        </w:tc>
        <w:tc>
          <w:tcPr>
            <w:tcW w:w="2383" w:type="dxa"/>
            <w:vAlign w:val="center"/>
          </w:tcPr>
          <w:p w:rsidR="00AA6EC3" w:rsidRPr="00F62510" w:rsidRDefault="00AA6EC3" w:rsidP="00AA6EC3">
            <w:pPr>
              <w:spacing w:before="100" w:beforeAutospacing="1" w:after="100" w:afterAutospacing="1"/>
              <w:rPr>
                <w:rFonts w:ascii="Georgia" w:hAnsi="Georgia"/>
                <w:sz w:val="16"/>
                <w:szCs w:val="16"/>
              </w:rPr>
            </w:pPr>
            <w:r w:rsidRPr="00F62510">
              <w:rPr>
                <w:rFonts w:ascii="Georgia" w:hAnsi="Georgia"/>
                <w:sz w:val="16"/>
                <w:szCs w:val="16"/>
              </w:rPr>
              <w:t>Qualified Residential Mortgage</w:t>
            </w:r>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lastRenderedPageBreak/>
              <w:t>Reg.</w:t>
            </w:r>
          </w:p>
        </w:tc>
        <w:tc>
          <w:tcPr>
            <w:tcW w:w="2383"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Abbreviation for “Regulation” – A federal regulation. These are found in the CFR.</w:t>
            </w:r>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B</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48" w:history="1">
              <w:r w:rsidR="009F14F9" w:rsidRPr="00F62510">
                <w:rPr>
                  <w:rStyle w:val="Hyperlink"/>
                  <w:rFonts w:ascii="Georgia" w:hAnsi="Georgia"/>
                  <w:sz w:val="16"/>
                  <w:szCs w:val="16"/>
                </w:rPr>
                <w:t>Equal Credit Opportunity</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C</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49" w:history="1">
              <w:r w:rsidR="009F14F9" w:rsidRPr="00F62510">
                <w:rPr>
                  <w:rStyle w:val="Hyperlink"/>
                  <w:rFonts w:ascii="Georgia" w:hAnsi="Georgia"/>
                  <w:sz w:val="16"/>
                  <w:szCs w:val="16"/>
                </w:rPr>
                <w:t>Home Mortgage Disclosure</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DD</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0" w:history="1">
              <w:r w:rsidR="009F14F9" w:rsidRPr="00F62510">
                <w:rPr>
                  <w:rStyle w:val="Hyperlink"/>
                  <w:rFonts w:ascii="Georgia" w:hAnsi="Georgia"/>
                  <w:sz w:val="16"/>
                  <w:szCs w:val="16"/>
                </w:rPr>
                <w:t>Truth in Savings</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E</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1" w:history="1">
              <w:r w:rsidR="009F14F9" w:rsidRPr="00F62510">
                <w:rPr>
                  <w:rStyle w:val="Hyperlink"/>
                  <w:rFonts w:ascii="Georgia" w:hAnsi="Georgia"/>
                  <w:sz w:val="16"/>
                  <w:szCs w:val="16"/>
                </w:rPr>
                <w:t>Electronic Fund Transfers</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G</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2" w:history="1">
              <w:r w:rsidR="009F14F9" w:rsidRPr="00F62510">
                <w:rPr>
                  <w:rStyle w:val="Hyperlink"/>
                  <w:rFonts w:ascii="Georgia" w:hAnsi="Georgia"/>
                  <w:sz w:val="16"/>
                  <w:szCs w:val="16"/>
                </w:rPr>
                <w:t>S.A.F.E. Mortgage Licensing Act</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P</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3" w:history="1">
              <w:r w:rsidR="009F14F9" w:rsidRPr="00F62510">
                <w:rPr>
                  <w:rStyle w:val="Hyperlink"/>
                  <w:rFonts w:ascii="Georgia" w:hAnsi="Georgia"/>
                  <w:sz w:val="16"/>
                  <w:szCs w:val="16"/>
                </w:rPr>
                <w:t>Privacy of Consumer Financial Information</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X</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4" w:history="1">
              <w:r w:rsidR="009F14F9" w:rsidRPr="00F62510">
                <w:rPr>
                  <w:rStyle w:val="Hyperlink"/>
                  <w:rFonts w:ascii="Georgia" w:hAnsi="Georgia"/>
                  <w:sz w:val="16"/>
                  <w:szCs w:val="16"/>
                </w:rPr>
                <w:t>Real Estate Settlement Procedures Act</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Reg. Z</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5" w:history="1">
              <w:r w:rsidR="009F14F9" w:rsidRPr="00F62510">
                <w:rPr>
                  <w:rStyle w:val="Hyperlink"/>
                  <w:rFonts w:ascii="Georgia" w:hAnsi="Georgia"/>
                  <w:sz w:val="16"/>
                  <w:szCs w:val="16"/>
                </w:rPr>
                <w:t>Truth in Lending</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RESPA</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6" w:history="1">
              <w:r w:rsidR="009F14F9" w:rsidRPr="00F62510">
                <w:rPr>
                  <w:rStyle w:val="Hyperlink"/>
                  <w:rFonts w:ascii="Georgia" w:hAnsi="Georgia"/>
                  <w:sz w:val="16"/>
                  <w:szCs w:val="16"/>
                </w:rPr>
                <w:t>Real Estate Settlement Procedures Act</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SAR</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7" w:history="1">
              <w:r w:rsidR="009F14F9" w:rsidRPr="00F62510">
                <w:rPr>
                  <w:rStyle w:val="Hyperlink"/>
                  <w:rFonts w:ascii="Georgia" w:hAnsi="Georgia"/>
                  <w:sz w:val="16"/>
                  <w:szCs w:val="16"/>
                </w:rPr>
                <w:t>Suspicious Activity Report</w:t>
              </w:r>
            </w:hyperlink>
            <w:r w:rsidR="009F14F9" w:rsidRPr="00F62510">
              <w:rPr>
                <w:rFonts w:ascii="Georgia" w:hAnsi="Georgia"/>
                <w:sz w:val="16"/>
                <w:szCs w:val="16"/>
              </w:rPr>
              <w:t xml:space="preserve"> – Report financial institutions file with the U.S. government (FinCEN) regarding activity that may be criminal in nature.</w:t>
            </w:r>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SDN</w:t>
            </w:r>
          </w:p>
        </w:tc>
        <w:tc>
          <w:tcPr>
            <w:tcW w:w="2383"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Specially Designated National</w:t>
            </w:r>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TILA</w:t>
            </w:r>
          </w:p>
        </w:tc>
        <w:tc>
          <w:tcPr>
            <w:tcW w:w="2383" w:type="dxa"/>
            <w:vAlign w:val="center"/>
          </w:tcPr>
          <w:p w:rsidR="009F14F9" w:rsidRPr="00F62510" w:rsidRDefault="006B55C4" w:rsidP="008F329A">
            <w:pPr>
              <w:spacing w:before="100" w:beforeAutospacing="1" w:after="100" w:afterAutospacing="1"/>
              <w:rPr>
                <w:rFonts w:ascii="Georgia" w:hAnsi="Georgia"/>
                <w:sz w:val="16"/>
                <w:szCs w:val="16"/>
              </w:rPr>
            </w:pPr>
            <w:hyperlink r:id="rId158" w:history="1">
              <w:r w:rsidR="009F14F9" w:rsidRPr="00F62510">
                <w:rPr>
                  <w:rStyle w:val="Hyperlink"/>
                  <w:rFonts w:ascii="Georgia" w:hAnsi="Georgia"/>
                  <w:sz w:val="16"/>
                  <w:szCs w:val="16"/>
                </w:rPr>
                <w:t>Truth in Lending Act</w:t>
              </w:r>
            </w:hyperlink>
          </w:p>
        </w:tc>
      </w:tr>
      <w:tr w:rsidR="009F14F9" w:rsidRPr="00F62510" w:rsidTr="00392919">
        <w:trPr>
          <w:tblCellSpacing w:w="0" w:type="dxa"/>
        </w:trPr>
        <w:tc>
          <w:tcPr>
            <w:tcW w:w="2237"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TIN</w:t>
            </w:r>
          </w:p>
        </w:tc>
        <w:tc>
          <w:tcPr>
            <w:tcW w:w="2383" w:type="dxa"/>
            <w:vAlign w:val="center"/>
          </w:tcPr>
          <w:p w:rsidR="009F14F9" w:rsidRPr="00F62510" w:rsidRDefault="009F14F9" w:rsidP="008F329A">
            <w:pPr>
              <w:spacing w:before="100" w:beforeAutospacing="1" w:after="100" w:afterAutospacing="1"/>
              <w:rPr>
                <w:rFonts w:ascii="Georgia" w:hAnsi="Georgia"/>
                <w:sz w:val="16"/>
                <w:szCs w:val="16"/>
              </w:rPr>
            </w:pPr>
            <w:r w:rsidRPr="00F62510">
              <w:rPr>
                <w:rFonts w:ascii="Georgia" w:hAnsi="Georgia"/>
                <w:sz w:val="16"/>
                <w:szCs w:val="16"/>
              </w:rPr>
              <w:t>Tax Identification Number</w:t>
            </w:r>
          </w:p>
        </w:tc>
      </w:tr>
      <w:tr w:rsidR="00C35AC5" w:rsidRPr="00F62510" w:rsidTr="00392919">
        <w:trPr>
          <w:tblCellSpacing w:w="0" w:type="dxa"/>
        </w:trPr>
        <w:tc>
          <w:tcPr>
            <w:tcW w:w="2237" w:type="dxa"/>
            <w:vAlign w:val="center"/>
          </w:tcPr>
          <w:p w:rsidR="00C35AC5" w:rsidRPr="00F62510" w:rsidRDefault="00C35AC5" w:rsidP="008F329A">
            <w:pPr>
              <w:spacing w:before="100" w:beforeAutospacing="1" w:after="100" w:afterAutospacing="1"/>
              <w:rPr>
                <w:rFonts w:ascii="Georgia" w:hAnsi="Georgia"/>
                <w:sz w:val="16"/>
                <w:szCs w:val="16"/>
              </w:rPr>
            </w:pPr>
            <w:r w:rsidRPr="00F62510">
              <w:rPr>
                <w:rFonts w:ascii="Georgia" w:hAnsi="Georgia"/>
                <w:sz w:val="16"/>
                <w:szCs w:val="16"/>
              </w:rPr>
              <w:t>Treasury</w:t>
            </w:r>
          </w:p>
        </w:tc>
        <w:tc>
          <w:tcPr>
            <w:tcW w:w="2383" w:type="dxa"/>
            <w:vAlign w:val="center"/>
          </w:tcPr>
          <w:p w:rsidR="00C35AC5" w:rsidRPr="00F62510" w:rsidRDefault="006B55C4" w:rsidP="008F329A">
            <w:pPr>
              <w:spacing w:before="100" w:beforeAutospacing="1" w:after="100" w:afterAutospacing="1"/>
              <w:rPr>
                <w:rFonts w:ascii="Georgia" w:hAnsi="Georgia"/>
                <w:sz w:val="16"/>
                <w:szCs w:val="16"/>
              </w:rPr>
            </w:pPr>
            <w:hyperlink r:id="rId159" w:history="1">
              <w:r w:rsidR="00C35AC5" w:rsidRPr="00F62510">
                <w:rPr>
                  <w:rStyle w:val="Hyperlink"/>
                  <w:rFonts w:ascii="Georgia" w:hAnsi="Georgia"/>
                  <w:sz w:val="16"/>
                  <w:szCs w:val="16"/>
                </w:rPr>
                <w:t>U.S. Department of Treasury</w:t>
              </w:r>
            </w:hyperlink>
          </w:p>
        </w:tc>
      </w:tr>
    </w:tbl>
    <w:p w:rsidR="00C35AC5" w:rsidRDefault="00C35AC5" w:rsidP="009F14F9">
      <w:pPr>
        <w:rPr>
          <w:rFonts w:ascii="Georgia" w:hAnsi="Georgia"/>
          <w:b/>
          <w:sz w:val="16"/>
          <w:szCs w:val="16"/>
        </w:rPr>
        <w:sectPr w:rsidR="00C35AC5" w:rsidSect="00C35AC5">
          <w:endnotePr>
            <w:numFmt w:val="decimal"/>
          </w:endnotePr>
          <w:type w:val="continuous"/>
          <w:pgSz w:w="12240" w:h="15840" w:code="1"/>
          <w:pgMar w:top="1440" w:right="1440" w:bottom="1440" w:left="1440" w:header="720" w:footer="720" w:gutter="0"/>
          <w:cols w:num="2" w:sep="1" w:space="720"/>
          <w:docGrid w:linePitch="360"/>
        </w:sectPr>
      </w:pPr>
    </w:p>
    <w:p w:rsidR="009F14F9" w:rsidRPr="00F62510" w:rsidRDefault="009F14F9" w:rsidP="009F14F9">
      <w:pPr>
        <w:rPr>
          <w:rFonts w:ascii="Georgia" w:hAnsi="Georgia"/>
          <w:b/>
          <w:sz w:val="16"/>
          <w:szCs w:val="16"/>
        </w:rPr>
      </w:pPr>
    </w:p>
    <w:p w:rsidR="009F14F9" w:rsidRDefault="009F14F9" w:rsidP="00B423C7">
      <w:pPr>
        <w:rPr>
          <w:rFonts w:ascii="Georgia" w:hAnsi="Georgia"/>
          <w:b/>
        </w:rPr>
      </w:pPr>
    </w:p>
    <w:p w:rsidR="005625BA" w:rsidRPr="006D3534" w:rsidRDefault="005625BA" w:rsidP="005625BA">
      <w:pPr>
        <w:autoSpaceDE w:val="0"/>
        <w:autoSpaceDN w:val="0"/>
        <w:adjustRightInd w:val="0"/>
        <w:rPr>
          <w:rFonts w:ascii="Arial" w:hAnsi="Arial" w:cs="Arial"/>
          <w:b/>
          <w:bCs/>
          <w:sz w:val="18"/>
          <w:szCs w:val="18"/>
        </w:rPr>
      </w:pPr>
      <w:r w:rsidRPr="006D3534">
        <w:rPr>
          <w:i/>
          <w:iCs/>
          <w:sz w:val="18"/>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Shannon Phillips Jr., Editor; Oklahoma Edition, copyrighted by Craig Buford, CBAO President and CEO.</w:t>
      </w:r>
    </w:p>
    <w:p w:rsidR="005625BA" w:rsidRPr="006D3534" w:rsidRDefault="005625BA" w:rsidP="005625BA">
      <w:pPr>
        <w:rPr>
          <w:rFonts w:ascii="Arial" w:hAnsi="Arial" w:cs="Arial"/>
          <w:b/>
          <w:bCs/>
          <w:sz w:val="20"/>
          <w:szCs w:val="20"/>
        </w:rPr>
      </w:pPr>
    </w:p>
    <w:p w:rsidR="005625BA" w:rsidRPr="006D3534" w:rsidRDefault="005625BA" w:rsidP="005625BA">
      <w:pPr>
        <w:rPr>
          <w:rFonts w:ascii="Arial" w:hAnsi="Arial" w:cs="Arial"/>
          <w:b/>
          <w:bCs/>
          <w:sz w:val="20"/>
          <w:szCs w:val="20"/>
        </w:rPr>
      </w:pPr>
      <w:r w:rsidRPr="006D3534">
        <w:rPr>
          <w:rFonts w:ascii="Arial" w:hAnsi="Arial" w:cs="Arial"/>
          <w:b/>
          <w:bCs/>
          <w:sz w:val="20"/>
          <w:szCs w:val="20"/>
        </w:rPr>
        <w:t>Capitol Comments</w:t>
      </w:r>
    </w:p>
    <w:p w:rsidR="005625BA" w:rsidRPr="006D3534" w:rsidRDefault="005625BA" w:rsidP="005625BA">
      <w:pPr>
        <w:rPr>
          <w:rFonts w:ascii="Arial" w:hAnsi="Arial" w:cs="Arial"/>
          <w:b/>
          <w:bCs/>
          <w:sz w:val="20"/>
          <w:szCs w:val="20"/>
        </w:rPr>
      </w:pPr>
      <w:r>
        <w:rPr>
          <w:rFonts w:ascii="Arial" w:hAnsi="Arial" w:cs="Arial"/>
          <w:b/>
          <w:bCs/>
          <w:sz w:val="20"/>
          <w:szCs w:val="20"/>
        </w:rPr>
        <w:t>August</w:t>
      </w:r>
      <w:r w:rsidRPr="006D3534">
        <w:rPr>
          <w:rFonts w:ascii="Arial" w:hAnsi="Arial" w:cs="Arial"/>
          <w:b/>
          <w:bCs/>
          <w:sz w:val="20"/>
          <w:szCs w:val="20"/>
        </w:rPr>
        <w:t xml:space="preserve"> 2014</w:t>
      </w:r>
    </w:p>
    <w:p w:rsidR="005625BA" w:rsidRPr="006D3534" w:rsidRDefault="005625BA" w:rsidP="005625BA">
      <w:pPr>
        <w:rPr>
          <w:sz w:val="18"/>
          <w:szCs w:val="18"/>
        </w:rPr>
      </w:pPr>
      <w:r w:rsidRPr="006D3534">
        <w:rPr>
          <w:sz w:val="18"/>
          <w:szCs w:val="18"/>
        </w:rPr>
        <w:t>Craig Buford, CAE</w:t>
      </w:r>
      <w:bookmarkStart w:id="12" w:name="_GoBack"/>
      <w:bookmarkEnd w:id="12"/>
    </w:p>
    <w:p w:rsidR="005625BA" w:rsidRPr="006D3534" w:rsidRDefault="005625BA" w:rsidP="005625BA">
      <w:pPr>
        <w:rPr>
          <w:sz w:val="18"/>
          <w:szCs w:val="18"/>
        </w:rPr>
      </w:pPr>
      <w:r w:rsidRPr="006D3534">
        <w:rPr>
          <w:sz w:val="18"/>
          <w:szCs w:val="18"/>
        </w:rPr>
        <w:lastRenderedPageBreak/>
        <w:t>President and CEO</w:t>
      </w:r>
    </w:p>
    <w:p w:rsidR="005625BA" w:rsidRPr="006D3534" w:rsidRDefault="005625BA" w:rsidP="005625BA">
      <w:pPr>
        <w:rPr>
          <w:sz w:val="18"/>
          <w:szCs w:val="18"/>
        </w:rPr>
      </w:pPr>
      <w:r w:rsidRPr="006D3534">
        <w:rPr>
          <w:sz w:val="18"/>
          <w:szCs w:val="18"/>
        </w:rPr>
        <w:t>Community Bankers Association of Oklahoma</w:t>
      </w:r>
    </w:p>
    <w:p w:rsidR="005625BA" w:rsidRPr="006D3534" w:rsidRDefault="005625BA" w:rsidP="005625BA">
      <w:pPr>
        <w:rPr>
          <w:sz w:val="18"/>
          <w:szCs w:val="18"/>
        </w:rPr>
      </w:pPr>
      <w:r w:rsidRPr="006D3534">
        <w:rPr>
          <w:sz w:val="18"/>
          <w:szCs w:val="18"/>
        </w:rPr>
        <w:t>4101 Perimeter Center Drive, Suite 107</w:t>
      </w:r>
    </w:p>
    <w:p w:rsidR="005625BA" w:rsidRPr="006D3534" w:rsidRDefault="005625BA" w:rsidP="005625BA">
      <w:pPr>
        <w:rPr>
          <w:sz w:val="18"/>
          <w:szCs w:val="18"/>
        </w:rPr>
      </w:pPr>
      <w:r w:rsidRPr="006D3534">
        <w:rPr>
          <w:sz w:val="18"/>
          <w:szCs w:val="18"/>
        </w:rPr>
        <w:t>Oklahoma City, OK 73112</w:t>
      </w:r>
    </w:p>
    <w:p w:rsidR="005625BA" w:rsidRPr="006D3534" w:rsidRDefault="005625BA" w:rsidP="005625BA">
      <w:pPr>
        <w:rPr>
          <w:sz w:val="18"/>
          <w:szCs w:val="18"/>
        </w:rPr>
      </w:pPr>
      <w:r w:rsidRPr="006D3534">
        <w:rPr>
          <w:sz w:val="18"/>
          <w:szCs w:val="18"/>
        </w:rPr>
        <w:t>Office: 405-524-4122</w:t>
      </w:r>
    </w:p>
    <w:p w:rsidR="005625BA" w:rsidRPr="006D3534" w:rsidRDefault="005625BA" w:rsidP="005625BA">
      <w:pPr>
        <w:rPr>
          <w:sz w:val="18"/>
          <w:szCs w:val="18"/>
        </w:rPr>
      </w:pPr>
      <w:r w:rsidRPr="006D3534">
        <w:rPr>
          <w:sz w:val="18"/>
          <w:szCs w:val="18"/>
        </w:rPr>
        <w:t>Cell: 405-833-9499</w:t>
      </w:r>
    </w:p>
    <w:p w:rsidR="005625BA" w:rsidRPr="006D3534" w:rsidRDefault="005625BA" w:rsidP="005625BA">
      <w:pPr>
        <w:rPr>
          <w:sz w:val="18"/>
          <w:szCs w:val="18"/>
        </w:rPr>
      </w:pPr>
      <w:r w:rsidRPr="006D3534">
        <w:rPr>
          <w:sz w:val="18"/>
          <w:szCs w:val="18"/>
        </w:rPr>
        <w:t>Fax: 405-896-6770</w:t>
      </w:r>
    </w:p>
    <w:p w:rsidR="005625BA" w:rsidRPr="006D3534" w:rsidRDefault="005625BA" w:rsidP="005625BA">
      <w:pPr>
        <w:rPr>
          <w:sz w:val="18"/>
          <w:szCs w:val="18"/>
        </w:rPr>
      </w:pPr>
      <w:r w:rsidRPr="006D3534">
        <w:rPr>
          <w:sz w:val="18"/>
          <w:szCs w:val="18"/>
        </w:rPr>
        <w:t>cbuford@cba-ok.org</w:t>
      </w:r>
    </w:p>
    <w:p w:rsidR="005625BA" w:rsidRPr="006D3534" w:rsidRDefault="005625BA" w:rsidP="005625BA">
      <w:pPr>
        <w:rPr>
          <w:sz w:val="18"/>
          <w:szCs w:val="18"/>
        </w:rPr>
      </w:pPr>
      <w:r w:rsidRPr="006D3534">
        <w:rPr>
          <w:sz w:val="18"/>
          <w:szCs w:val="18"/>
        </w:rPr>
        <w:t>www.cba-ok.org</w:t>
      </w:r>
    </w:p>
    <w:p w:rsidR="005625BA" w:rsidRDefault="005625BA" w:rsidP="005625BA"/>
    <w:p w:rsidR="00354ADD" w:rsidRPr="00C35AC5" w:rsidRDefault="00354ADD" w:rsidP="005625BA">
      <w:pPr>
        <w:autoSpaceDE w:val="0"/>
        <w:autoSpaceDN w:val="0"/>
        <w:adjustRightInd w:val="0"/>
        <w:rPr>
          <w:rFonts w:ascii="Georgia" w:hAnsi="Georgia"/>
          <w:sz w:val="14"/>
          <w:szCs w:val="14"/>
        </w:rPr>
      </w:pPr>
    </w:p>
    <w:sectPr w:rsidR="00354ADD" w:rsidRPr="00C35AC5" w:rsidSect="00C35AC5">
      <w:endnotePr>
        <w:numFmt w:val="decimal"/>
      </w:endnotePr>
      <w:type w:val="continuous"/>
      <w:pgSz w:w="12240" w:h="15840" w:code="1"/>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C4" w:rsidRDefault="006B55C4">
      <w:r>
        <w:separator/>
      </w:r>
    </w:p>
  </w:endnote>
  <w:endnote w:type="continuationSeparator" w:id="0">
    <w:p w:rsidR="006B55C4" w:rsidRDefault="006B55C4">
      <w:r>
        <w:continuationSeparator/>
      </w:r>
    </w:p>
  </w:endnote>
  <w:endnote w:id="1">
    <w:p w:rsidR="00024C77" w:rsidRDefault="00024C77" w:rsidP="003D3582">
      <w:pPr>
        <w:pStyle w:val="EndnoteText"/>
      </w:pPr>
      <w:r>
        <w:rPr>
          <w:rStyle w:val="EndnoteReference"/>
        </w:rPr>
        <w:endnoteRef/>
      </w:r>
      <w:hyperlink r:id="rId1" w:history="1">
        <w:r w:rsidRPr="00B0686C">
          <w:rPr>
            <w:rStyle w:val="Hyperlink"/>
          </w:rPr>
          <w:t>http://files.consumerfinance.gov/f/201408_cfpb_consumer-advisory_virtual-currencies.pdf?zbrandid=740&amp;zidType=CH&amp;zid=8708513&amp;zsubscriberId=337601751&amp;zbdom=http://www.informz.net</w:t>
        </w:r>
      </w:hyperlink>
    </w:p>
    <w:p w:rsidR="00024C77" w:rsidRDefault="00024C77" w:rsidP="003D3582">
      <w:pPr>
        <w:pStyle w:val="EndnoteText"/>
      </w:pPr>
    </w:p>
  </w:endnote>
  <w:endnote w:id="2">
    <w:p w:rsidR="00024C77" w:rsidRDefault="00024C77" w:rsidP="003D3582">
      <w:pPr>
        <w:pStyle w:val="EndnoteText"/>
      </w:pPr>
      <w:r>
        <w:rPr>
          <w:rStyle w:val="EndnoteReference"/>
        </w:rPr>
        <w:endnoteRef/>
      </w:r>
      <w:r>
        <w:t xml:space="preserve"> </w:t>
      </w:r>
      <w:hyperlink r:id="rId2" w:history="1">
        <w:r w:rsidRPr="001B76A2">
          <w:rPr>
            <w:rStyle w:val="Hyperlink"/>
          </w:rPr>
          <w:t>http://www.consumerfinance.gov/your-money-your-goals/</w:t>
        </w:r>
      </w:hyperlink>
    </w:p>
    <w:p w:rsidR="00024C77" w:rsidRDefault="00024C77" w:rsidP="003D3582">
      <w:pPr>
        <w:pStyle w:val="EndnoteText"/>
      </w:pPr>
    </w:p>
  </w:endnote>
  <w:endnote w:id="3">
    <w:p w:rsidR="00024C77" w:rsidRDefault="00024C77" w:rsidP="003D3582">
      <w:pPr>
        <w:pStyle w:val="EndnoteText"/>
      </w:pPr>
      <w:r>
        <w:rPr>
          <w:rStyle w:val="EndnoteReference"/>
        </w:rPr>
        <w:endnoteRef/>
      </w:r>
      <w:r>
        <w:t xml:space="preserve"> </w:t>
      </w:r>
      <w:hyperlink r:id="rId3" w:history="1">
        <w:r w:rsidRPr="002001FF">
          <w:rPr>
            <w:rStyle w:val="Hyperlink"/>
          </w:rPr>
          <w:t>http://www.consumerfinance.gov/newsroom/cfpb-begins-accepting-consumer-complaints-on-prepaid-cards-and-additional-nonbank-products/</w:t>
        </w:r>
      </w:hyperlink>
    </w:p>
    <w:p w:rsidR="00024C77" w:rsidRDefault="00024C77" w:rsidP="003D3582">
      <w:pPr>
        <w:pStyle w:val="EndnoteText"/>
      </w:pPr>
    </w:p>
  </w:endnote>
  <w:endnote w:id="4">
    <w:p w:rsidR="00024C77" w:rsidRDefault="00024C77" w:rsidP="003D3582">
      <w:pPr>
        <w:pStyle w:val="EndnoteText"/>
      </w:pPr>
      <w:r>
        <w:rPr>
          <w:rStyle w:val="EndnoteReference"/>
        </w:rPr>
        <w:endnoteRef/>
      </w:r>
      <w:hyperlink r:id="rId4" w:history="1">
        <w:r w:rsidRPr="002001FF">
          <w:rPr>
            <w:rStyle w:val="Hyperlink"/>
          </w:rPr>
          <w:t>http://www.consumerfinance.gov/complaintdatabase/</w:t>
        </w:r>
      </w:hyperlink>
    </w:p>
    <w:p w:rsidR="00024C77" w:rsidRDefault="00024C77" w:rsidP="003D3582">
      <w:pPr>
        <w:pStyle w:val="EndnoteText"/>
      </w:pPr>
    </w:p>
  </w:endnote>
  <w:endnote w:id="5">
    <w:p w:rsidR="00024C77" w:rsidRPr="00466E31" w:rsidRDefault="00024C77" w:rsidP="003D3582">
      <w:pPr>
        <w:pStyle w:val="EndnoteText"/>
      </w:pPr>
      <w:r w:rsidRPr="00466E31">
        <w:rPr>
          <w:rStyle w:val="EndnoteReference"/>
        </w:rPr>
        <w:endnoteRef/>
      </w:r>
      <w:r w:rsidRPr="00466E31">
        <w:t xml:space="preserve"> http://www.consumerfinance.gov/newsroom/cfpb-proposes-rule-to-improve-information-about-a</w:t>
      </w:r>
      <w:r>
        <w:t>ccess-to-credit-in-the-mortgage-</w:t>
      </w:r>
      <w:r w:rsidRPr="00466E31">
        <w:t>market/?utm_source=newsletter&amp;utm_medium=email&amp;utm_campaign=20140724+regimp</w:t>
      </w:r>
    </w:p>
    <w:p w:rsidR="00024C77" w:rsidRDefault="00024C77" w:rsidP="003D3582">
      <w:pPr>
        <w:pStyle w:val="EndnoteText"/>
      </w:pPr>
    </w:p>
  </w:endnote>
  <w:endnote w:id="6">
    <w:p w:rsidR="00024C77" w:rsidRDefault="00024C77">
      <w:pPr>
        <w:pStyle w:val="EndnoteText"/>
        <w:rPr>
          <w:rFonts w:ascii="Georgia" w:hAnsi="Georgia"/>
          <w:sz w:val="24"/>
          <w:szCs w:val="24"/>
        </w:rPr>
      </w:pPr>
      <w:r>
        <w:rPr>
          <w:rStyle w:val="EndnoteReference"/>
        </w:rPr>
        <w:endnoteRef/>
      </w:r>
      <w:hyperlink r:id="rId5" w:history="1">
        <w:r w:rsidRPr="003E0CD2">
          <w:rPr>
            <w:rStyle w:val="Hyperlink"/>
          </w:rPr>
          <w:t>https://www.webcaster4.com/Webcast/Page/48/4689</w:t>
        </w:r>
      </w:hyperlink>
    </w:p>
    <w:p w:rsidR="00024C77" w:rsidRDefault="00024C77">
      <w:pPr>
        <w:pStyle w:val="EndnoteText"/>
      </w:pPr>
    </w:p>
  </w:endnote>
  <w:endnote w:id="7">
    <w:p w:rsidR="00024C77" w:rsidRDefault="00024C77">
      <w:pPr>
        <w:pStyle w:val="EndnoteText"/>
      </w:pPr>
      <w:r>
        <w:rPr>
          <w:rStyle w:val="EndnoteReference"/>
        </w:rPr>
        <w:endnoteRef/>
      </w:r>
      <w:r>
        <w:t xml:space="preserve"> </w:t>
      </w:r>
      <w:hyperlink r:id="rId6" w:history="1">
        <w:r w:rsidRPr="00EF2BAB">
          <w:rPr>
            <w:rStyle w:val="Hyperlink"/>
          </w:rPr>
          <w:t>http://www.philadelphiafed.org/bank-resources/publications/consumer-compliance-outlook/outlook-live/</w:t>
        </w:r>
      </w:hyperlink>
    </w:p>
    <w:p w:rsidR="00024C77" w:rsidRDefault="00024C77">
      <w:pPr>
        <w:pStyle w:val="EndnoteText"/>
      </w:pPr>
    </w:p>
  </w:endnote>
  <w:endnote w:id="8">
    <w:p w:rsidR="00024C77" w:rsidRDefault="00024C77" w:rsidP="003D3582">
      <w:pPr>
        <w:pStyle w:val="EndnoteText"/>
        <w:rPr>
          <w:rFonts w:ascii="Georgia" w:hAnsi="Georgia"/>
          <w:i/>
          <w:color w:val="003366"/>
        </w:rPr>
      </w:pPr>
      <w:r>
        <w:rPr>
          <w:rStyle w:val="EndnoteReference"/>
        </w:rPr>
        <w:endnoteRef/>
      </w:r>
      <w:hyperlink r:id="rId7" w:history="1">
        <w:r w:rsidRPr="00D723AA">
          <w:rPr>
            <w:rStyle w:val="Hyperlink"/>
          </w:rPr>
          <w:t>http://www.fdic.gov/consumers/banking/youthsavingspilot/</w:t>
        </w:r>
      </w:hyperlink>
    </w:p>
    <w:p w:rsidR="00024C77" w:rsidRDefault="00024C77" w:rsidP="003D3582">
      <w:pPr>
        <w:pStyle w:val="EndnoteText"/>
      </w:pPr>
    </w:p>
  </w:endnote>
  <w:endnote w:id="9">
    <w:p w:rsidR="00024C77" w:rsidRDefault="00024C77" w:rsidP="003D3582">
      <w:pPr>
        <w:pStyle w:val="EndnoteText"/>
      </w:pPr>
      <w:r>
        <w:rPr>
          <w:rStyle w:val="EndnoteReference"/>
        </w:rPr>
        <w:endnoteRef/>
      </w:r>
      <w:r w:rsidRPr="00422430">
        <w:t>http://www.fdic.gov/news/news/financial/2014/fil14041.pdf</w:t>
      </w:r>
    </w:p>
    <w:p w:rsidR="00024C77" w:rsidRDefault="00024C77" w:rsidP="003D3582">
      <w:pPr>
        <w:pStyle w:val="EndnoteText"/>
      </w:pPr>
    </w:p>
  </w:endnote>
  <w:endnote w:id="10">
    <w:p w:rsidR="00024C77" w:rsidRPr="00466E31" w:rsidRDefault="00024C77" w:rsidP="003D3582">
      <w:pPr>
        <w:pStyle w:val="EndnoteText"/>
      </w:pPr>
      <w:r w:rsidRPr="00466E31">
        <w:rPr>
          <w:rStyle w:val="EndnoteReference"/>
        </w:rPr>
        <w:endnoteRef/>
      </w:r>
      <w:r w:rsidRPr="00466E31">
        <w:t>http://www.fdic.gov/news/news/financial/2008/fil08127.html</w:t>
      </w:r>
    </w:p>
    <w:p w:rsidR="00024C77" w:rsidRPr="00466E31" w:rsidRDefault="00024C77" w:rsidP="003D3582">
      <w:pPr>
        <w:pStyle w:val="EndnoteText"/>
      </w:pPr>
    </w:p>
  </w:endnote>
  <w:endnote w:id="11">
    <w:p w:rsidR="00024C77" w:rsidRPr="00466E31" w:rsidRDefault="00024C77" w:rsidP="003D3582">
      <w:pPr>
        <w:pStyle w:val="EndnoteText"/>
      </w:pPr>
      <w:r w:rsidRPr="00466E31">
        <w:rPr>
          <w:rStyle w:val="EndnoteReference"/>
        </w:rPr>
        <w:endnoteRef/>
      </w:r>
      <w:r w:rsidRPr="00466E31">
        <w:t>http://www.fdic.gov/news/news/financial/2012/fil12003.html</w:t>
      </w:r>
    </w:p>
    <w:p w:rsidR="00024C77" w:rsidRPr="00466E31" w:rsidRDefault="00024C77" w:rsidP="003D3582">
      <w:pPr>
        <w:pStyle w:val="EndnoteText"/>
      </w:pPr>
    </w:p>
  </w:endnote>
  <w:endnote w:id="12">
    <w:p w:rsidR="00024C77" w:rsidRPr="00466E31" w:rsidRDefault="00024C77" w:rsidP="003D3582">
      <w:pPr>
        <w:pStyle w:val="EndnoteText"/>
      </w:pPr>
      <w:r w:rsidRPr="00466E31">
        <w:rPr>
          <w:rStyle w:val="EndnoteReference"/>
        </w:rPr>
        <w:endnoteRef/>
      </w:r>
      <w:r w:rsidRPr="00466E31">
        <w:t>http://www.fdic.gov/news/news/financial/2013/fil13043.html</w:t>
      </w:r>
    </w:p>
    <w:p w:rsidR="00024C77" w:rsidRPr="00466E31" w:rsidRDefault="00024C77" w:rsidP="003D3582">
      <w:pPr>
        <w:pStyle w:val="EndnoteText"/>
      </w:pPr>
    </w:p>
  </w:endnote>
  <w:endnote w:id="13">
    <w:p w:rsidR="00024C77" w:rsidRPr="00466E31" w:rsidRDefault="00024C77" w:rsidP="003D3582">
      <w:pPr>
        <w:pStyle w:val="Heading"/>
        <w:rPr>
          <w:rFonts w:ascii="Times New Roman" w:hAnsi="Times New Roman" w:cs="Times New Roman"/>
          <w:b w:val="0"/>
          <w:color w:val="auto"/>
          <w:sz w:val="20"/>
          <w:szCs w:val="20"/>
        </w:rPr>
      </w:pPr>
      <w:r w:rsidRPr="00466E31">
        <w:rPr>
          <w:rStyle w:val="EndnoteReference"/>
          <w:rFonts w:ascii="Times New Roman" w:hAnsi="Times New Roman"/>
          <w:color w:val="auto"/>
          <w:sz w:val="20"/>
          <w:szCs w:val="20"/>
        </w:rPr>
        <w:endnoteRef/>
      </w:r>
      <w:r w:rsidRPr="00466E31">
        <w:rPr>
          <w:rFonts w:ascii="Times New Roman" w:hAnsi="Times New Roman" w:cs="Times New Roman"/>
          <w:b w:val="0"/>
          <w:color w:val="auto"/>
          <w:sz w:val="20"/>
          <w:szCs w:val="20"/>
        </w:rPr>
        <w:t>http://www.fdic.gov/regulations/examinat</w:t>
      </w:r>
      <w:r>
        <w:rPr>
          <w:rFonts w:ascii="Times New Roman" w:hAnsi="Times New Roman" w:cs="Times New Roman"/>
          <w:b w:val="0"/>
          <w:color w:val="auto"/>
          <w:sz w:val="20"/>
          <w:szCs w:val="20"/>
        </w:rPr>
        <w:t>ions/supervisory/insights/sisum</w:t>
      </w:r>
      <w:r w:rsidRPr="00466E31">
        <w:rPr>
          <w:rFonts w:ascii="Times New Roman" w:hAnsi="Times New Roman" w:cs="Times New Roman"/>
          <w:b w:val="0"/>
          <w:color w:val="auto"/>
          <w:sz w:val="20"/>
          <w:szCs w:val="20"/>
        </w:rPr>
        <w:t>11/managing.html</w:t>
      </w:r>
    </w:p>
    <w:p w:rsidR="00024C77" w:rsidRPr="00466E31" w:rsidRDefault="00024C77" w:rsidP="003D3582">
      <w:pPr>
        <w:pStyle w:val="EndnoteText"/>
      </w:pPr>
    </w:p>
  </w:endnote>
  <w:endnote w:id="14">
    <w:p w:rsidR="00024C77" w:rsidRDefault="00024C77">
      <w:pPr>
        <w:pStyle w:val="EndnoteText"/>
      </w:pPr>
      <w:r>
        <w:rPr>
          <w:rStyle w:val="EndnoteReference"/>
        </w:rPr>
        <w:endnoteRef/>
      </w:r>
      <w:hyperlink r:id="rId8" w:history="1">
        <w:r w:rsidRPr="00385E86">
          <w:rPr>
            <w:rStyle w:val="Hyperlink"/>
          </w:rPr>
          <w:t>http://www.fdic.gov/news/news/financial/2014/fil14040.pdf</w:t>
        </w:r>
      </w:hyperlink>
    </w:p>
    <w:p w:rsidR="00024C77" w:rsidRDefault="00024C77">
      <w:pPr>
        <w:pStyle w:val="EndnoteText"/>
      </w:pPr>
    </w:p>
  </w:endnote>
  <w:endnote w:id="15">
    <w:p w:rsidR="00024C77" w:rsidRDefault="00024C77" w:rsidP="003D3582">
      <w:pPr>
        <w:pStyle w:val="EndnoteText"/>
      </w:pPr>
      <w:r>
        <w:rPr>
          <w:rStyle w:val="EndnoteReference"/>
        </w:rPr>
        <w:endnoteRef/>
      </w:r>
      <w:r>
        <w:t xml:space="preserve"> </w:t>
      </w:r>
      <w:r w:rsidRPr="00F56672">
        <w:t>http://www.occ.gov/publications/publications-by-type/comptrollers-handbook/pub-ch-lease-financing.pdf</w:t>
      </w:r>
    </w:p>
    <w:p w:rsidR="00024C77" w:rsidRDefault="00024C77" w:rsidP="003D3582">
      <w:pPr>
        <w:pStyle w:val="EndnoteText"/>
      </w:pPr>
    </w:p>
  </w:endnote>
  <w:endnote w:id="16">
    <w:p w:rsidR="00024C77" w:rsidRDefault="00024C77" w:rsidP="003D3582">
      <w:pPr>
        <w:pStyle w:val="EndnoteText"/>
      </w:pPr>
      <w:r>
        <w:rPr>
          <w:rStyle w:val="EndnoteReference"/>
        </w:rPr>
        <w:endnoteRef/>
      </w:r>
      <w:r>
        <w:t xml:space="preserve"> </w:t>
      </w:r>
      <w:hyperlink r:id="rId9" w:history="1">
        <w:r w:rsidRPr="00EF2BAB">
          <w:rPr>
            <w:rStyle w:val="Hyperlink"/>
          </w:rPr>
          <w:t>http://www.occ.gov/news-issuances/bulletins/2014/bulletin-2014-37.html#</w:t>
        </w:r>
      </w:hyperlink>
    </w:p>
    <w:p w:rsidR="00024C77" w:rsidRDefault="00024C77" w:rsidP="003D3582">
      <w:pPr>
        <w:pStyle w:val="EndnoteText"/>
      </w:pPr>
    </w:p>
  </w:endnote>
  <w:endnote w:id="17">
    <w:p w:rsidR="00024C77" w:rsidRDefault="00024C77" w:rsidP="00525B9E">
      <w:pPr>
        <w:pStyle w:val="EndnoteText"/>
      </w:pPr>
      <w:r>
        <w:rPr>
          <w:rStyle w:val="EndnoteReference"/>
        </w:rPr>
        <w:endnoteRef/>
      </w:r>
      <w:hyperlink r:id="rId10" w:history="1">
        <w:r w:rsidRPr="00D83C3E">
          <w:rPr>
            <w:rStyle w:val="Hyperlink"/>
          </w:rPr>
          <w:t>http://www.fanniemae.com/resources/file/research/mlss/pdf/mlss-aug2014-presentation.pdf?zbrandid=740&amp;zidType=CH&amp;zid=8721714&amp;zsubscriberId=337601751&amp;zbdom=http://www.informz.net</w:t>
        </w:r>
      </w:hyperlink>
    </w:p>
    <w:p w:rsidR="00024C77" w:rsidRDefault="00024C77" w:rsidP="00525B9E">
      <w:pPr>
        <w:pStyle w:val="EndnoteText"/>
      </w:pPr>
    </w:p>
  </w:endnote>
  <w:endnote w:id="18">
    <w:p w:rsidR="00024C77" w:rsidRDefault="00024C77" w:rsidP="00525B9E">
      <w:pPr>
        <w:pStyle w:val="EndnoteText"/>
      </w:pPr>
      <w:r>
        <w:rPr>
          <w:rStyle w:val="EndnoteReference"/>
        </w:rPr>
        <w:endnoteRef/>
      </w:r>
      <w:hyperlink r:id="rId11" w:history="1">
        <w:r w:rsidRPr="002C4146">
          <w:rPr>
            <w:rStyle w:val="Hyperlink"/>
          </w:rPr>
          <w:t>http://www.fincen.gov/statutes_regs/guidance/pdf/FIN-2014-A007.pdf</w:t>
        </w:r>
      </w:hyperlink>
    </w:p>
    <w:p w:rsidR="00024C77" w:rsidRDefault="00024C77" w:rsidP="00525B9E">
      <w:pPr>
        <w:pStyle w:val="EndnoteText"/>
      </w:pPr>
    </w:p>
  </w:endnote>
  <w:endnote w:id="19">
    <w:p w:rsidR="00024C77" w:rsidRDefault="00024C77" w:rsidP="00525B9E">
      <w:pPr>
        <w:pStyle w:val="EndnoteText"/>
      </w:pPr>
      <w:r>
        <w:rPr>
          <w:rStyle w:val="EndnoteReference"/>
        </w:rPr>
        <w:endnoteRef/>
      </w:r>
      <w:r>
        <w:t xml:space="preserve"> </w:t>
      </w:r>
      <w:hyperlink r:id="rId12" w:history="1">
        <w:r w:rsidRPr="00D83C3E">
          <w:rPr>
            <w:rStyle w:val="Hyperlink"/>
          </w:rPr>
          <w:t>http://www.treasury.gov/resource-center/sanctions/Documents/licensing_guidance.pdf</w:t>
        </w:r>
      </w:hyperlink>
    </w:p>
    <w:p w:rsidR="00024C77" w:rsidRDefault="00024C77" w:rsidP="00525B9E">
      <w:pPr>
        <w:pStyle w:val="EndnoteText"/>
      </w:pPr>
    </w:p>
  </w:endnote>
  <w:endnote w:id="20">
    <w:p w:rsidR="00024C77" w:rsidRDefault="00024C77" w:rsidP="00525B9E">
      <w:pPr>
        <w:pStyle w:val="EndnoteText"/>
      </w:pPr>
      <w:r>
        <w:rPr>
          <w:rStyle w:val="EndnoteReference"/>
        </w:rPr>
        <w:endnoteRef/>
      </w:r>
      <w:r>
        <w:t xml:space="preserve"> </w:t>
      </w:r>
      <w:hyperlink r:id="rId13" w:anchor="50_percent" w:history="1">
        <w:r w:rsidRPr="00D83C3E">
          <w:rPr>
            <w:rStyle w:val="Hyperlink"/>
          </w:rPr>
          <w:t>http://www.treasury.gov/resource-center/faqs/Sanctions/Pages/ques_index.aspx#50_percent</w:t>
        </w:r>
      </w:hyperlink>
    </w:p>
    <w:p w:rsidR="00024C77" w:rsidRDefault="00024C77" w:rsidP="00525B9E">
      <w:pPr>
        <w:pStyle w:val="EndnoteText"/>
      </w:pPr>
    </w:p>
  </w:endnote>
  <w:endnote w:id="21">
    <w:p w:rsidR="00024C77" w:rsidRDefault="00024C77" w:rsidP="000E6A0E">
      <w:pPr>
        <w:pStyle w:val="EndnoteText"/>
      </w:pPr>
      <w:r>
        <w:rPr>
          <w:rStyle w:val="EndnoteReference"/>
        </w:rPr>
        <w:endnoteRef/>
      </w:r>
      <w:r>
        <w:t xml:space="preserve"> </w:t>
      </w:r>
      <w:r w:rsidRPr="003719DC">
        <w:t>http://www.treasury.gov/press-center/press-releases/Pages/jl2607.aspx</w:t>
      </w:r>
    </w:p>
    <w:p w:rsidR="00024C77" w:rsidRDefault="00024C77" w:rsidP="000E6A0E">
      <w:pPr>
        <w:pStyle w:val="EndnoteText"/>
      </w:pPr>
    </w:p>
  </w:endnote>
  <w:endnote w:id="22">
    <w:p w:rsidR="00024C77" w:rsidRDefault="00024C77" w:rsidP="000E6A0E">
      <w:pPr>
        <w:pStyle w:val="EndnoteText"/>
      </w:pPr>
      <w:r>
        <w:rPr>
          <w:rStyle w:val="EndnoteReference"/>
        </w:rPr>
        <w:endnoteRef/>
      </w:r>
      <w:r>
        <w:t xml:space="preserve"> </w:t>
      </w:r>
      <w:hyperlink r:id="rId14" w:history="1">
        <w:r w:rsidRPr="0012263A">
          <w:rPr>
            <w:rStyle w:val="Hyperlink"/>
          </w:rPr>
          <w:t>http://www.fico.com/en/about-us/newsroom/news-releases/fico-score-9-introduces-refined-analysis-medical-collections/</w:t>
        </w:r>
      </w:hyperlink>
    </w:p>
    <w:p w:rsidR="00024C77" w:rsidRDefault="00024C77" w:rsidP="000E6A0E">
      <w:pPr>
        <w:pStyle w:val="EndnoteText"/>
      </w:pPr>
    </w:p>
  </w:endnote>
  <w:endnote w:id="23">
    <w:p w:rsidR="00024C77" w:rsidRDefault="00024C77" w:rsidP="00195914">
      <w:pPr>
        <w:pStyle w:val="EndnoteText"/>
      </w:pPr>
      <w:r>
        <w:rPr>
          <w:rStyle w:val="EndnoteReference"/>
        </w:rPr>
        <w:endnoteRef/>
      </w:r>
      <w:hyperlink r:id="rId15" w:history="1">
        <w:r w:rsidRPr="001B76A2">
          <w:rPr>
            <w:rStyle w:val="Hyperlink"/>
          </w:rPr>
          <w:t>http://files.consumerfinance.gov/f/201407_cfpb_report_data-point_overdrafts.pdf</w:t>
        </w:r>
      </w:hyperlink>
    </w:p>
    <w:p w:rsidR="00024C77" w:rsidRDefault="00024C77" w:rsidP="00195914">
      <w:pPr>
        <w:pStyle w:val="EndnoteText"/>
      </w:pPr>
    </w:p>
  </w:endnote>
  <w:endnote w:id="24">
    <w:p w:rsidR="00024C77" w:rsidRDefault="00024C77" w:rsidP="00195914">
      <w:pPr>
        <w:pStyle w:val="EndnoteText"/>
      </w:pPr>
      <w:r>
        <w:rPr>
          <w:rStyle w:val="EndnoteReference"/>
        </w:rPr>
        <w:endnoteRef/>
      </w:r>
      <w:hyperlink r:id="rId16" w:history="1">
        <w:r w:rsidRPr="001B76A2">
          <w:rPr>
            <w:rStyle w:val="Hyperlink"/>
          </w:rPr>
          <w:t>http://files.consumerfinance.gov/f/201306_cfpb_whitepaper_overdraft-practices.pdf</w:t>
        </w:r>
      </w:hyperlink>
    </w:p>
    <w:p w:rsidR="00024C77" w:rsidRDefault="00024C77" w:rsidP="00195914">
      <w:pPr>
        <w:pStyle w:val="EndnoteText"/>
      </w:pPr>
    </w:p>
  </w:endnote>
  <w:endnote w:id="25">
    <w:p w:rsidR="00024C77" w:rsidRDefault="00024C77" w:rsidP="00525B9E">
      <w:pPr>
        <w:pStyle w:val="EndnoteText"/>
      </w:pPr>
      <w:r>
        <w:rPr>
          <w:rStyle w:val="EndnoteReference"/>
        </w:rPr>
        <w:endnoteRef/>
      </w:r>
      <w:hyperlink r:id="rId17" w:history="1">
        <w:r w:rsidRPr="00385E86">
          <w:rPr>
            <w:rStyle w:val="Hyperlink"/>
          </w:rPr>
          <w:t>http://files.consumerfinance.gov/f/201407_cfpb_report_financial-literacy-annual-report.pdf</w:t>
        </w:r>
      </w:hyperlink>
    </w:p>
    <w:p w:rsidR="00024C77" w:rsidRDefault="00024C77" w:rsidP="00525B9E">
      <w:pPr>
        <w:pStyle w:val="EndnoteText"/>
      </w:pPr>
    </w:p>
  </w:endnote>
  <w:endnote w:id="26">
    <w:p w:rsidR="00024C77" w:rsidRDefault="00024C77" w:rsidP="00525B9E">
      <w:pPr>
        <w:pStyle w:val="EndnoteText"/>
      </w:pPr>
      <w:r>
        <w:rPr>
          <w:rStyle w:val="EndnoteReference"/>
        </w:rPr>
        <w:endnoteRef/>
      </w:r>
      <w:hyperlink r:id="rId18" w:history="1">
        <w:r w:rsidRPr="003E3882">
          <w:rPr>
            <w:rStyle w:val="Hyperlink"/>
          </w:rPr>
          <w:t>http://www.fdic.gov/regulations/examinations/supervisory/insights/index.html?source=govdelivery&amp;utm_medium=email&amp;utm_source=govdelivery</w:t>
        </w:r>
      </w:hyperlink>
    </w:p>
    <w:p w:rsidR="00024C77" w:rsidRDefault="00024C77" w:rsidP="00525B9E">
      <w:pPr>
        <w:pStyle w:val="EndnoteText"/>
      </w:pPr>
    </w:p>
  </w:endnote>
  <w:endnote w:id="27">
    <w:p w:rsidR="00024C77" w:rsidRDefault="00024C77" w:rsidP="00525B9E">
      <w:pPr>
        <w:pStyle w:val="EndnoteText"/>
      </w:pPr>
      <w:r>
        <w:rPr>
          <w:rStyle w:val="EndnoteReference"/>
        </w:rPr>
        <w:endnoteRef/>
      </w:r>
      <w:hyperlink r:id="rId19" w:history="1">
        <w:r w:rsidRPr="002001FF">
          <w:rPr>
            <w:rStyle w:val="Hyperlink"/>
          </w:rPr>
          <w:t>http://www.fdic.gov/bank/analytical/quarterly/2014_vol8_3/mdi_study.pdf</w:t>
        </w:r>
      </w:hyperlink>
    </w:p>
    <w:p w:rsidR="00024C77" w:rsidRDefault="00024C77" w:rsidP="00525B9E">
      <w:pPr>
        <w:pStyle w:val="EndnoteText"/>
      </w:pPr>
    </w:p>
  </w:endnote>
  <w:endnote w:id="28">
    <w:p w:rsidR="00024C77" w:rsidRDefault="00024C77" w:rsidP="00525B9E">
      <w:pPr>
        <w:pStyle w:val="EndnoteText"/>
      </w:pPr>
      <w:r>
        <w:rPr>
          <w:rStyle w:val="EndnoteReference"/>
        </w:rPr>
        <w:endnoteRef/>
      </w:r>
      <w:hyperlink r:id="rId20" w:history="1">
        <w:r w:rsidRPr="002001FF">
          <w:rPr>
            <w:rStyle w:val="Hyperlink"/>
          </w:rPr>
          <w:t>http://www.fdic.gov/news/news/press/2014/pr14059.html</w:t>
        </w:r>
      </w:hyperlink>
    </w:p>
    <w:p w:rsidR="00024C77" w:rsidRDefault="00024C77" w:rsidP="00525B9E">
      <w:pPr>
        <w:pStyle w:val="EndnoteText"/>
      </w:pPr>
    </w:p>
  </w:endnote>
  <w:endnote w:id="29">
    <w:p w:rsidR="00024C77" w:rsidRDefault="00024C77" w:rsidP="00525B9E">
      <w:pPr>
        <w:pStyle w:val="EndnoteText"/>
      </w:pPr>
      <w:r>
        <w:rPr>
          <w:rStyle w:val="EndnoteReference"/>
        </w:rPr>
        <w:endnoteRef/>
      </w:r>
      <w:r>
        <w:t xml:space="preserve"> </w:t>
      </w:r>
      <w:hyperlink r:id="rId21" w:history="1">
        <w:r w:rsidRPr="00862F16">
          <w:rPr>
            <w:rStyle w:val="Hyperlink"/>
          </w:rPr>
          <w:t>http://www.frbservices.org/fedflash/index.html</w:t>
        </w:r>
      </w:hyperlink>
    </w:p>
    <w:p w:rsidR="00024C77" w:rsidRDefault="00024C77" w:rsidP="00525B9E">
      <w:pPr>
        <w:pStyle w:val="EndnoteText"/>
      </w:pPr>
    </w:p>
  </w:endnote>
  <w:endnote w:id="30">
    <w:p w:rsidR="00024C77" w:rsidRDefault="00024C77" w:rsidP="00525B9E">
      <w:pPr>
        <w:pStyle w:val="EndnoteText"/>
      </w:pPr>
      <w:r>
        <w:rPr>
          <w:rStyle w:val="EndnoteReference"/>
        </w:rPr>
        <w:endnoteRef/>
      </w:r>
      <w:hyperlink r:id="rId22" w:history="1">
        <w:r w:rsidRPr="00A96B2F">
          <w:rPr>
            <w:rStyle w:val="Hyperlink"/>
          </w:rPr>
          <w:t>http://www.frbservices.org/fedfocus/index.html</w:t>
        </w:r>
      </w:hyperlink>
    </w:p>
    <w:p w:rsidR="00024C77" w:rsidRDefault="00024C77" w:rsidP="00525B9E">
      <w:pPr>
        <w:pStyle w:val="EndnoteText"/>
      </w:pPr>
    </w:p>
  </w:endnote>
  <w:endnote w:id="31">
    <w:p w:rsidR="00024C77" w:rsidRDefault="00024C77">
      <w:pPr>
        <w:pStyle w:val="EndnoteText"/>
      </w:pPr>
      <w:r>
        <w:rPr>
          <w:rStyle w:val="EndnoteReference"/>
        </w:rPr>
        <w:endnoteRef/>
      </w:r>
      <w:hyperlink r:id="rId23" w:history="1">
        <w:r w:rsidRPr="00EF2BAB">
          <w:rPr>
            <w:rStyle w:val="Hyperlink"/>
          </w:rPr>
          <w:t>http://www.federalreserve.gov/boarddocs/SnLoanSurvey/201408/default.htm</w:t>
        </w:r>
      </w:hyperlink>
    </w:p>
    <w:p w:rsidR="00024C77" w:rsidRDefault="00024C77">
      <w:pPr>
        <w:pStyle w:val="EndnoteText"/>
      </w:pPr>
    </w:p>
  </w:endnote>
  <w:endnote w:id="32">
    <w:p w:rsidR="00024C77" w:rsidRDefault="00024C77">
      <w:pPr>
        <w:pStyle w:val="EndnoteText"/>
      </w:pPr>
      <w:r>
        <w:rPr>
          <w:rStyle w:val="EndnoteReference"/>
        </w:rPr>
        <w:endnoteRef/>
      </w:r>
      <w:hyperlink r:id="rId24" w:history="1">
        <w:r w:rsidRPr="003E3882">
          <w:rPr>
            <w:rStyle w:val="Hyperlink"/>
          </w:rPr>
          <w:t>http://www.frbservices.org/files/communications/pdf/general/2013_fed_res_paymt_study_detailed_rpt.pdf</w:t>
        </w:r>
      </w:hyperlink>
    </w:p>
    <w:p w:rsidR="00024C77" w:rsidRDefault="00024C77">
      <w:pPr>
        <w:pStyle w:val="EndnoteText"/>
      </w:pPr>
    </w:p>
  </w:endnote>
  <w:endnote w:id="33">
    <w:p w:rsidR="00024C77" w:rsidRDefault="00024C77" w:rsidP="00525B9E">
      <w:pPr>
        <w:pStyle w:val="EndnoteText"/>
      </w:pPr>
      <w:r>
        <w:rPr>
          <w:rStyle w:val="EndnoteReference"/>
        </w:rPr>
        <w:endnoteRef/>
      </w:r>
      <w:r>
        <w:t xml:space="preserve"> </w:t>
      </w:r>
      <w:hyperlink r:id="rId25" w:history="1">
        <w:r w:rsidRPr="002001FF">
          <w:rPr>
            <w:rStyle w:val="Hyperlink"/>
          </w:rPr>
          <w:t>http://www.federalreserve.gov/publications/other-reports/files/government-prepaid-report-201407.pdf</w:t>
        </w:r>
      </w:hyperlink>
    </w:p>
    <w:p w:rsidR="00024C77" w:rsidRDefault="00024C77" w:rsidP="00525B9E">
      <w:pPr>
        <w:pStyle w:val="EndnoteText"/>
      </w:pPr>
    </w:p>
  </w:endnote>
  <w:endnote w:id="34">
    <w:p w:rsidR="00024C77" w:rsidRDefault="00024C77" w:rsidP="00525B9E">
      <w:pPr>
        <w:pStyle w:val="EndnoteText"/>
      </w:pPr>
      <w:r>
        <w:rPr>
          <w:rStyle w:val="EndnoteReference"/>
        </w:rPr>
        <w:endnoteRef/>
      </w:r>
      <w:r>
        <w:t xml:space="preserve"> </w:t>
      </w:r>
      <w:hyperlink r:id="rId26" w:history="1">
        <w:r w:rsidRPr="00805EA3">
          <w:rPr>
            <w:rStyle w:val="Hyperlink"/>
          </w:rPr>
          <w:t>http://www.federalreserve.gov/econresdata/2013-report-economic-well-being-us-households-201407.pdf</w:t>
        </w:r>
      </w:hyperlink>
    </w:p>
    <w:p w:rsidR="00024C77" w:rsidRDefault="00024C77" w:rsidP="00525B9E">
      <w:pPr>
        <w:pStyle w:val="EndnoteText"/>
      </w:pPr>
    </w:p>
  </w:endnote>
  <w:endnote w:id="35">
    <w:p w:rsidR="00024C77" w:rsidRDefault="00024C77" w:rsidP="00525B9E">
      <w:pPr>
        <w:pStyle w:val="EndnoteText"/>
      </w:pPr>
      <w:r>
        <w:rPr>
          <w:rStyle w:val="EndnoteReference"/>
        </w:rPr>
        <w:endnoteRef/>
      </w:r>
      <w:r>
        <w:t xml:space="preserve"> </w:t>
      </w:r>
      <w:r w:rsidRPr="00507C8E">
        <w:t>http://www.philadelphiafed.org/consumer-credit-and-payments/payment-cards-center/publications/discussion-papers/2014/D-2014-Fair-Lending.pdf</w:t>
      </w:r>
    </w:p>
    <w:p w:rsidR="00024C77" w:rsidRDefault="00024C77" w:rsidP="00525B9E">
      <w:pPr>
        <w:pStyle w:val="EndnoteText"/>
      </w:pPr>
    </w:p>
  </w:endnote>
  <w:endnote w:id="36">
    <w:p w:rsidR="00024C77" w:rsidRDefault="00024C77" w:rsidP="0069736C">
      <w:pPr>
        <w:pStyle w:val="EndnoteText"/>
      </w:pPr>
      <w:r>
        <w:rPr>
          <w:rStyle w:val="EndnoteReference"/>
        </w:rPr>
        <w:endnoteRef/>
      </w:r>
      <w:r>
        <w:t xml:space="preserve"> </w:t>
      </w:r>
      <w:hyperlink r:id="rId27" w:history="1">
        <w:r w:rsidRPr="00385E86">
          <w:rPr>
            <w:rStyle w:val="Hyperlink"/>
          </w:rPr>
          <w:t>http://www.gao.gov/assets/670/664840.pdf</w:t>
        </w:r>
      </w:hyperlink>
    </w:p>
    <w:p w:rsidR="00024C77" w:rsidRPr="0069736C" w:rsidRDefault="00024C77" w:rsidP="0069736C">
      <w:pPr>
        <w:pStyle w:val="EndnoteText"/>
      </w:pPr>
    </w:p>
  </w:endnote>
  <w:endnote w:id="37">
    <w:p w:rsidR="00024C77" w:rsidRDefault="00024C77" w:rsidP="00525B9E">
      <w:pPr>
        <w:pStyle w:val="EndnoteText"/>
      </w:pPr>
      <w:r w:rsidRPr="000657FD">
        <w:rPr>
          <w:rStyle w:val="EndnoteReference"/>
        </w:rPr>
        <w:endnoteRef/>
      </w:r>
      <w:r w:rsidRPr="000657FD">
        <w:t xml:space="preserve"> http://www.gao.gov/products/GAO-14-551</w:t>
      </w:r>
    </w:p>
    <w:p w:rsidR="00024C77" w:rsidRPr="000657FD" w:rsidRDefault="00024C77" w:rsidP="00525B9E">
      <w:pPr>
        <w:pStyle w:val="EndnoteText"/>
      </w:pPr>
    </w:p>
  </w:endnote>
  <w:endnote w:id="38">
    <w:p w:rsidR="00024C77" w:rsidRDefault="00024C77">
      <w:pPr>
        <w:pStyle w:val="EndnoteText"/>
      </w:pPr>
      <w:r>
        <w:rPr>
          <w:rStyle w:val="EndnoteReference"/>
        </w:rPr>
        <w:endnoteRef/>
      </w:r>
      <w:r>
        <w:t xml:space="preserve"> </w:t>
      </w:r>
      <w:hyperlink r:id="rId28" w:history="1">
        <w:r w:rsidRPr="003E3882">
          <w:rPr>
            <w:rStyle w:val="Hyperlink"/>
          </w:rPr>
          <w:t>http://www.fdicig.gov/reports14/14-002EV.pdf?source=govdelivery&amp;utm_medium=email&amp;utm_source=govdelivery</w:t>
        </w:r>
      </w:hyperlink>
    </w:p>
    <w:p w:rsidR="00024C77" w:rsidRDefault="00024C77">
      <w:pPr>
        <w:pStyle w:val="EndnoteText"/>
      </w:pPr>
    </w:p>
  </w:endnote>
  <w:endnote w:id="39">
    <w:p w:rsidR="00024C77" w:rsidRDefault="00024C77">
      <w:pPr>
        <w:pStyle w:val="EndnoteText"/>
      </w:pPr>
      <w:r>
        <w:rPr>
          <w:rStyle w:val="EndnoteReference"/>
        </w:rPr>
        <w:endnoteRef/>
      </w:r>
      <w:r>
        <w:t xml:space="preserve"> </w:t>
      </w:r>
      <w:hyperlink r:id="rId29" w:history="1">
        <w:r w:rsidRPr="009E78E7">
          <w:rPr>
            <w:rStyle w:val="Hyperlink"/>
          </w:rPr>
          <w:t>http://www.occ.gov/news-issuances/speeches/2014/pub-speech-2014-111.pdf</w:t>
        </w:r>
      </w:hyperlink>
    </w:p>
    <w:p w:rsidR="00024C77" w:rsidRDefault="00024C77">
      <w:pPr>
        <w:pStyle w:val="EndnoteText"/>
      </w:pPr>
    </w:p>
  </w:endnote>
  <w:endnote w:id="40">
    <w:p w:rsidR="004A7B7D" w:rsidRDefault="004A7B7D">
      <w:pPr>
        <w:pStyle w:val="EndnoteText"/>
      </w:pPr>
      <w:r>
        <w:rPr>
          <w:rStyle w:val="EndnoteReference"/>
        </w:rPr>
        <w:endnoteRef/>
      </w:r>
      <w:hyperlink r:id="rId30" w:history="1">
        <w:r w:rsidRPr="009E78E7">
          <w:rPr>
            <w:rStyle w:val="Hyperlink"/>
          </w:rPr>
          <w:t>http://www.consumerfinance.gov/newsroom/prepared-remarks-of-cfpb-director-richard-cordray-at-the-association-of-military-banks-of-america/</w:t>
        </w:r>
      </w:hyperlink>
    </w:p>
    <w:p w:rsidR="004A7B7D" w:rsidRDefault="004A7B7D">
      <w:pPr>
        <w:pStyle w:val="EndnoteText"/>
      </w:pPr>
    </w:p>
  </w:endnote>
  <w:endnote w:id="41">
    <w:p w:rsidR="0054778D" w:rsidRDefault="0054778D">
      <w:pPr>
        <w:pStyle w:val="EndnoteText"/>
      </w:pPr>
      <w:r>
        <w:rPr>
          <w:rStyle w:val="EndnoteReference"/>
        </w:rPr>
        <w:endnoteRef/>
      </w:r>
      <w:r>
        <w:t xml:space="preserve"> </w:t>
      </w:r>
      <w:hyperlink r:id="rId31" w:history="1">
        <w:r w:rsidRPr="009E78E7">
          <w:rPr>
            <w:rStyle w:val="Hyperlink"/>
          </w:rPr>
          <w:t>http://www.ffiec.gov/hmcrpr/cra_fs14.htm</w:t>
        </w:r>
      </w:hyperlink>
    </w:p>
    <w:p w:rsidR="0054778D" w:rsidRDefault="0054778D">
      <w:pPr>
        <w:pStyle w:val="EndnoteText"/>
      </w:pPr>
    </w:p>
  </w:endnote>
  <w:endnote w:id="42">
    <w:p w:rsidR="00024C77" w:rsidRDefault="00024C77">
      <w:pPr>
        <w:pStyle w:val="EndnoteText"/>
      </w:pPr>
      <w:r>
        <w:rPr>
          <w:rStyle w:val="EndnoteReference"/>
        </w:rPr>
        <w:endnoteRef/>
      </w:r>
      <w:hyperlink r:id="rId32" w:anchor="h-4" w:history="1">
        <w:r w:rsidRPr="00D83C3E">
          <w:rPr>
            <w:rStyle w:val="Hyperlink"/>
          </w:rPr>
          <w:t>https://www.federalregister.gov/articles/2014/08/15/2014-18838/truth-in-lending-regulation-z-annual-threshold-adjustments-card-act-hoepa-and-atrqm#h-4</w:t>
        </w:r>
      </w:hyperlink>
    </w:p>
    <w:p w:rsidR="00024C77" w:rsidRDefault="00024C77">
      <w:pPr>
        <w:pStyle w:val="EndnoteText"/>
      </w:pPr>
    </w:p>
  </w:endnote>
  <w:endnote w:id="43">
    <w:p w:rsidR="00024C77" w:rsidRPr="00E053F7" w:rsidRDefault="00024C77">
      <w:pPr>
        <w:pStyle w:val="EndnoteText"/>
      </w:pPr>
      <w:r w:rsidRPr="00E053F7">
        <w:rPr>
          <w:rStyle w:val="EndnoteReference"/>
        </w:rPr>
        <w:endnoteRef/>
      </w:r>
      <w:hyperlink r:id="rId33" w:history="1">
        <w:r w:rsidRPr="00E053F7">
          <w:rPr>
            <w:rStyle w:val="Hyperlink"/>
          </w:rPr>
          <w:t>http://portal.hud.gov/hudportal/documents/huddoc?id=92070.pdf</w:t>
        </w:r>
      </w:hyperlink>
    </w:p>
    <w:p w:rsidR="00024C77" w:rsidRPr="00E053F7" w:rsidRDefault="00024C77">
      <w:pPr>
        <w:pStyle w:val="EndnoteText"/>
      </w:pPr>
    </w:p>
  </w:endnote>
  <w:endnote w:id="44">
    <w:p w:rsidR="00024C77" w:rsidRDefault="00024C77">
      <w:pPr>
        <w:pStyle w:val="EndnoteText"/>
      </w:pPr>
      <w:r>
        <w:rPr>
          <w:rStyle w:val="EndnoteReference"/>
        </w:rPr>
        <w:endnoteRef/>
      </w:r>
      <w:hyperlink r:id="rId34" w:history="1">
        <w:r w:rsidRPr="00F55077">
          <w:rPr>
            <w:rStyle w:val="Hyperlink"/>
          </w:rPr>
          <w:t>http://www.fdic.gov/news/news/financial/2013/fil13031.html</w:t>
        </w:r>
      </w:hyperlink>
    </w:p>
    <w:p w:rsidR="00024C77" w:rsidRDefault="00024C77">
      <w:pPr>
        <w:pStyle w:val="EndnoteText"/>
      </w:pPr>
    </w:p>
  </w:endnote>
  <w:endnote w:id="45">
    <w:p w:rsidR="00024C77" w:rsidRPr="00E053F7" w:rsidRDefault="00024C77">
      <w:pPr>
        <w:pStyle w:val="EndnoteText"/>
      </w:pPr>
      <w:r w:rsidRPr="00E053F7">
        <w:rPr>
          <w:rStyle w:val="EndnoteReference"/>
        </w:rPr>
        <w:endnoteRef/>
      </w:r>
      <w:hyperlink r:id="rId35" w:history="1">
        <w:r w:rsidRPr="00E053F7">
          <w:rPr>
            <w:rStyle w:val="Hyperlink"/>
          </w:rPr>
          <w:t>https://www.federalregister.gov/articles/2013/12/31/2013-28210/integrated-mortgage-disclosures-under-the-real-estate-settlement-procedures-act-regulation-x-and-the</w:t>
        </w:r>
      </w:hyperlink>
    </w:p>
    <w:p w:rsidR="00024C77" w:rsidRPr="00E053F7" w:rsidRDefault="00024C77">
      <w:pPr>
        <w:pStyle w:val="EndnoteText"/>
      </w:pPr>
    </w:p>
  </w:endnote>
  <w:endnote w:id="46">
    <w:p w:rsidR="00024C77" w:rsidRDefault="00024C77" w:rsidP="00D53155">
      <w:pPr>
        <w:pStyle w:val="EndnoteText"/>
      </w:pPr>
      <w:r>
        <w:rPr>
          <w:rStyle w:val="EndnoteReference"/>
        </w:rPr>
        <w:endnoteRef/>
      </w:r>
      <w:r>
        <w:t xml:space="preserve"> </w:t>
      </w:r>
      <w:hyperlink r:id="rId36" w:history="1">
        <w:r w:rsidRPr="009922FE">
          <w:rPr>
            <w:rStyle w:val="Hyperlink"/>
          </w:rPr>
          <w:t>http://www.treasury.gov/resource-center/tax-policy/treaties/Pages/FATCA.aspx</w:t>
        </w:r>
      </w:hyperlink>
    </w:p>
    <w:p w:rsidR="00024C77" w:rsidRDefault="00024C77" w:rsidP="00D53155">
      <w:pPr>
        <w:pStyle w:val="EndnoteText"/>
      </w:pPr>
    </w:p>
  </w:endnote>
  <w:endnote w:id="47">
    <w:p w:rsidR="00024C77" w:rsidRDefault="00024C77" w:rsidP="00D53155">
      <w:pPr>
        <w:pStyle w:val="EndnoteText"/>
      </w:pPr>
      <w:r>
        <w:rPr>
          <w:rStyle w:val="EndnoteReference"/>
        </w:rPr>
        <w:endnoteRef/>
      </w:r>
      <w:r>
        <w:t xml:space="preserve"> </w:t>
      </w:r>
      <w:hyperlink r:id="rId37" w:history="1">
        <w:r w:rsidRPr="009922FE">
          <w:rPr>
            <w:rStyle w:val="Hyperlink"/>
          </w:rPr>
          <w:t>http://www.treasury.gov/resource-center/tax-policy/treaties/Pages/FATCA-Archive.aspx</w:t>
        </w:r>
      </w:hyperlink>
    </w:p>
    <w:p w:rsidR="00024C77" w:rsidRDefault="00024C77" w:rsidP="00D53155">
      <w:pPr>
        <w:pStyle w:val="EndnoteText"/>
      </w:pPr>
    </w:p>
  </w:endnote>
  <w:endnote w:id="48">
    <w:p w:rsidR="00024C77" w:rsidRPr="00E053F7" w:rsidRDefault="00024C77" w:rsidP="00627676">
      <w:pPr>
        <w:pStyle w:val="EndnoteText"/>
      </w:pPr>
      <w:r w:rsidRPr="00E053F7">
        <w:rPr>
          <w:rStyle w:val="EndnoteReference"/>
        </w:rPr>
        <w:endnoteRef/>
      </w:r>
      <w:r w:rsidRPr="00E053F7">
        <w:t xml:space="preserve"> </w:t>
      </w:r>
      <w:hyperlink r:id="rId38" w:history="1">
        <w:r w:rsidRPr="00E053F7">
          <w:rPr>
            <w:rStyle w:val="Hyperlink"/>
          </w:rPr>
          <w:t>http://www.occ.gov/news-issuances/news-releases/2014/nr-ia-2014-2a.pdf</w:t>
        </w:r>
      </w:hyperlink>
    </w:p>
    <w:p w:rsidR="00024C77" w:rsidRPr="00E053F7" w:rsidRDefault="00024C77" w:rsidP="00627676">
      <w:pPr>
        <w:pStyle w:val="EndnoteText"/>
      </w:pPr>
    </w:p>
  </w:endnote>
  <w:endnote w:id="49">
    <w:p w:rsidR="00024C77" w:rsidRPr="00E053F7" w:rsidRDefault="00024C77" w:rsidP="00627676">
      <w:pPr>
        <w:pStyle w:val="EndnoteText"/>
      </w:pPr>
      <w:r w:rsidRPr="00E053F7">
        <w:rPr>
          <w:rStyle w:val="EndnoteReference"/>
        </w:rPr>
        <w:endnoteRef/>
      </w:r>
      <w:hyperlink r:id="rId39" w:history="1">
        <w:r w:rsidRPr="00E053F7">
          <w:rPr>
            <w:rStyle w:val="Hyperlink"/>
          </w:rPr>
          <w:t>http://www.federalreserve.gov/newsevents/press/bcreg/bcreg20131210a1.pdf</w:t>
        </w:r>
      </w:hyperlink>
    </w:p>
    <w:p w:rsidR="00024C77" w:rsidRPr="00E053F7" w:rsidRDefault="00024C77" w:rsidP="00627676">
      <w:pPr>
        <w:pStyle w:val="EndnoteText"/>
      </w:pPr>
    </w:p>
  </w:endnote>
  <w:endnote w:id="50">
    <w:p w:rsidR="00024C77" w:rsidRPr="00E053F7" w:rsidRDefault="00024C77" w:rsidP="002B241E">
      <w:pPr>
        <w:pStyle w:val="EndnoteText"/>
      </w:pPr>
      <w:r w:rsidRPr="00E053F7">
        <w:rPr>
          <w:rStyle w:val="EndnoteReference"/>
        </w:rPr>
        <w:endnoteRef/>
      </w:r>
      <w:hyperlink r:id="rId40" w:history="1">
        <w:r w:rsidRPr="00E053F7">
          <w:rPr>
            <w:rStyle w:val="Hyperlink"/>
          </w:rPr>
          <w:t>http://www.consumerfinance.gov/regulations/appraisals-for-higher-priced-mortgage-loans/</w:t>
        </w:r>
      </w:hyperlink>
    </w:p>
    <w:p w:rsidR="00024C77" w:rsidRPr="00E053F7" w:rsidRDefault="00024C77" w:rsidP="002B241E">
      <w:pPr>
        <w:pStyle w:val="EndnoteText"/>
      </w:pPr>
    </w:p>
  </w:endnote>
  <w:endnote w:id="51">
    <w:p w:rsidR="00024C77" w:rsidRPr="00E053F7" w:rsidRDefault="00024C77" w:rsidP="00606228">
      <w:pPr>
        <w:pStyle w:val="EndnoteText"/>
      </w:pPr>
      <w:r w:rsidRPr="00E053F7">
        <w:rPr>
          <w:rStyle w:val="EndnoteReference"/>
        </w:rPr>
        <w:endnoteRef/>
      </w:r>
      <w:hyperlink r:id="rId41" w:history="1">
        <w:r w:rsidRPr="00E053F7">
          <w:rPr>
            <w:rStyle w:val="Hyperlink"/>
          </w:rPr>
          <w:t>https://www.federalregister.gov/articles/2013/12/26/2013-30108/appraisals-for-higher-priced-mortgage-loans</w:t>
        </w:r>
      </w:hyperlink>
    </w:p>
    <w:p w:rsidR="00024C77" w:rsidRPr="00E053F7" w:rsidRDefault="00024C77" w:rsidP="00606228">
      <w:pPr>
        <w:pStyle w:val="EndnoteText"/>
      </w:pPr>
    </w:p>
  </w:endnote>
  <w:endnote w:id="52">
    <w:p w:rsidR="00024C77" w:rsidRPr="00E053F7" w:rsidRDefault="00024C77" w:rsidP="00606228">
      <w:pPr>
        <w:pStyle w:val="EndnoteText"/>
      </w:pPr>
      <w:r w:rsidRPr="00E053F7">
        <w:rPr>
          <w:rStyle w:val="EndnoteReference"/>
        </w:rPr>
        <w:endnoteRef/>
      </w:r>
      <w:hyperlink r:id="rId42" w:history="1">
        <w:r w:rsidRPr="00E053F7">
          <w:rPr>
            <w:rStyle w:val="Hyperlink"/>
          </w:rPr>
          <w:t>http://www.consumerfinance.gov/regulations/disclosure-and-delivery-requirements-for-copies-of-appraisals-and-other-written-valuations-under-the-equal-credit-opportunity-act-regulation-b/</w:t>
        </w:r>
      </w:hyperlink>
    </w:p>
    <w:p w:rsidR="00024C77" w:rsidRPr="00E053F7" w:rsidRDefault="00024C77" w:rsidP="00606228">
      <w:pPr>
        <w:pStyle w:val="EndnoteText"/>
      </w:pPr>
    </w:p>
  </w:endnote>
  <w:endnote w:id="53">
    <w:p w:rsidR="00024C77" w:rsidRPr="00E053F7" w:rsidRDefault="00024C77" w:rsidP="00606228">
      <w:pPr>
        <w:pStyle w:val="EndnoteText"/>
      </w:pPr>
      <w:r w:rsidRPr="00E053F7">
        <w:rPr>
          <w:rStyle w:val="EndnoteReference"/>
        </w:rPr>
        <w:endnoteRef/>
      </w:r>
      <w:r w:rsidRPr="00E053F7">
        <w:t xml:space="preserve"> </w:t>
      </w:r>
      <w:hyperlink r:id="rId43" w:history="1">
        <w:r w:rsidRPr="00E053F7">
          <w:rPr>
            <w:rStyle w:val="Hyperlink"/>
          </w:rPr>
          <w:t>https://www.sec.gov/rules/final/2013/34-70462.pdf</w:t>
        </w:r>
      </w:hyperlink>
    </w:p>
    <w:p w:rsidR="00024C77" w:rsidRPr="00E053F7" w:rsidRDefault="00024C77" w:rsidP="00606228">
      <w:pPr>
        <w:pStyle w:val="EndnoteText"/>
      </w:pPr>
    </w:p>
  </w:endnote>
  <w:endnote w:id="54">
    <w:p w:rsidR="00024C77" w:rsidRPr="00E053F7" w:rsidRDefault="00024C77" w:rsidP="00606228">
      <w:pPr>
        <w:pStyle w:val="EndnoteText"/>
      </w:pPr>
      <w:r w:rsidRPr="00E053F7">
        <w:rPr>
          <w:rStyle w:val="EndnoteReference"/>
        </w:rPr>
        <w:endnoteRef/>
      </w:r>
      <w:hyperlink r:id="rId44" w:history="1">
        <w:r w:rsidRPr="00E053F7">
          <w:rPr>
            <w:rStyle w:val="Hyperlink"/>
          </w:rPr>
          <w:t>https://www.federalregister.gov/articles/2013/11/14/2013-27300/homeownership-counseling-organizations-lists-interpretive-rule</w:t>
        </w:r>
      </w:hyperlink>
    </w:p>
    <w:p w:rsidR="00024C77" w:rsidRPr="00E053F7" w:rsidRDefault="00024C77" w:rsidP="00606228">
      <w:pPr>
        <w:pStyle w:val="EndnoteText"/>
      </w:pPr>
    </w:p>
  </w:endnote>
  <w:endnote w:id="55">
    <w:p w:rsidR="00024C77" w:rsidRPr="00E053F7" w:rsidRDefault="00024C77" w:rsidP="00606228">
      <w:pPr>
        <w:pStyle w:val="EndnoteText"/>
      </w:pPr>
      <w:r w:rsidRPr="00E053F7">
        <w:rPr>
          <w:rStyle w:val="EndnoteReference"/>
        </w:rPr>
        <w:endnoteRef/>
      </w:r>
      <w:hyperlink r:id="rId45" w:history="1">
        <w:r w:rsidRPr="00E053F7">
          <w:rPr>
            <w:rStyle w:val="Hyperlink"/>
          </w:rPr>
          <w:t>https://www.federalregister.gov/articles/2013/12/11/2013-29482/qualified-mortgage-definition-for-hud-insured-and-guaranteed-single-family-mortgages</w:t>
        </w:r>
      </w:hyperlink>
    </w:p>
    <w:p w:rsidR="00024C77" w:rsidRPr="00E053F7" w:rsidRDefault="00024C77" w:rsidP="00606228">
      <w:pPr>
        <w:pStyle w:val="EndnoteText"/>
      </w:pPr>
    </w:p>
  </w:endnote>
  <w:endnote w:id="56">
    <w:p w:rsidR="00024C77" w:rsidRPr="00E053F7" w:rsidRDefault="00024C77" w:rsidP="00606228">
      <w:pPr>
        <w:pStyle w:val="EndnoteText"/>
      </w:pPr>
      <w:r w:rsidRPr="00E053F7">
        <w:rPr>
          <w:rStyle w:val="EndnoteReference"/>
        </w:rPr>
        <w:endnoteRef/>
      </w:r>
      <w:r w:rsidRPr="00E053F7">
        <w:t xml:space="preserve"> </w:t>
      </w:r>
      <w:hyperlink r:id="rId46" w:history="1">
        <w:r w:rsidRPr="00E053F7">
          <w:rPr>
            <w:rStyle w:val="Hyperlink"/>
          </w:rPr>
          <w:t>http://www.consumerfinance.gov/regulations/loan-originator-compensation-requirements-under-the-truth-in-lending-act-regulation-z/</w:t>
        </w:r>
      </w:hyperlink>
    </w:p>
    <w:p w:rsidR="00024C77" w:rsidRPr="00E053F7" w:rsidRDefault="00024C77" w:rsidP="00606228">
      <w:pPr>
        <w:pStyle w:val="EndnoteText"/>
      </w:pPr>
    </w:p>
  </w:endnote>
  <w:endnote w:id="57">
    <w:p w:rsidR="00024C77" w:rsidRPr="00E053F7" w:rsidRDefault="00024C77" w:rsidP="00341B4A">
      <w:pPr>
        <w:pStyle w:val="EndnoteText"/>
      </w:pPr>
      <w:r w:rsidRPr="00E053F7">
        <w:rPr>
          <w:rStyle w:val="EndnoteReference"/>
        </w:rPr>
        <w:endnoteRef/>
      </w:r>
      <w:hyperlink r:id="rId47" w:history="1">
        <w:r w:rsidRPr="00E053F7">
          <w:rPr>
            <w:rStyle w:val="Hyperlink"/>
          </w:rPr>
          <w:t>http://files.consumerfinance.gov/f/201401_cfpb_complaince-guide_loan-originator.pdf</w:t>
        </w:r>
      </w:hyperlink>
    </w:p>
    <w:p w:rsidR="00024C77" w:rsidRPr="00E053F7" w:rsidRDefault="00024C77" w:rsidP="00341B4A">
      <w:pPr>
        <w:pStyle w:val="EndnoteText"/>
      </w:pPr>
    </w:p>
  </w:endnote>
  <w:endnote w:id="58">
    <w:p w:rsidR="00024C77" w:rsidRPr="00E053F7" w:rsidRDefault="00024C77" w:rsidP="00606228">
      <w:pPr>
        <w:pStyle w:val="EndnoteText"/>
      </w:pPr>
      <w:r w:rsidRPr="00E053F7">
        <w:rPr>
          <w:rStyle w:val="EndnoteReference"/>
        </w:rPr>
        <w:endnoteRef/>
      </w:r>
      <w:hyperlink r:id="rId48" w:history="1">
        <w:r w:rsidRPr="00E053F7">
          <w:rPr>
            <w:rStyle w:val="Hyperlink"/>
          </w:rPr>
          <w:t>http://files.consumerfinance.gov/f/201305_cfpb_final-rule_credit-insurance-effective-date-delay-final-rule-for-ofr-submission.pdf</w:t>
        </w:r>
      </w:hyperlink>
    </w:p>
    <w:p w:rsidR="00024C77" w:rsidRPr="00E053F7" w:rsidRDefault="00024C77" w:rsidP="00606228">
      <w:pPr>
        <w:pStyle w:val="EndnoteText"/>
      </w:pPr>
    </w:p>
  </w:endnote>
  <w:endnote w:id="59">
    <w:p w:rsidR="00024C77" w:rsidRPr="00E053F7" w:rsidRDefault="00024C77">
      <w:pPr>
        <w:pStyle w:val="EndnoteText"/>
      </w:pPr>
      <w:r w:rsidRPr="00E053F7">
        <w:rPr>
          <w:rStyle w:val="EndnoteReference"/>
        </w:rPr>
        <w:endnoteRef/>
      </w:r>
      <w:hyperlink r:id="rId49" w:history="1">
        <w:r w:rsidRPr="00E053F7">
          <w:rPr>
            <w:rStyle w:val="Hyperlink"/>
          </w:rPr>
          <w:t>http://files.consumerfinance.gov/f/201401_cfpb_complaince-guide_loan-originator.pdf</w:t>
        </w:r>
      </w:hyperlink>
    </w:p>
    <w:p w:rsidR="00024C77" w:rsidRPr="00E053F7" w:rsidRDefault="00024C77">
      <w:pPr>
        <w:pStyle w:val="EndnoteText"/>
      </w:pPr>
    </w:p>
  </w:endnote>
  <w:endnote w:id="60">
    <w:p w:rsidR="00024C77" w:rsidRPr="00E053F7" w:rsidRDefault="00024C77" w:rsidP="00606228">
      <w:pPr>
        <w:pStyle w:val="EndnoteText"/>
      </w:pPr>
      <w:r w:rsidRPr="00E053F7">
        <w:rPr>
          <w:rStyle w:val="EndnoteReference"/>
        </w:rPr>
        <w:endnoteRef/>
      </w:r>
      <w:hyperlink r:id="rId50" w:history="1">
        <w:r w:rsidRPr="00E053F7">
          <w:rPr>
            <w:rStyle w:val="Hyperlink"/>
          </w:rPr>
          <w:t>http://www.consumerfinance.gov/regulations/2013-real-estate-settlement-procedures-act-regulation-x-and-truth-in-lending-act-regulation-z-mortgage-servicing-final-rules/</w:t>
        </w:r>
      </w:hyperlink>
    </w:p>
    <w:p w:rsidR="00024C77" w:rsidRPr="00E053F7" w:rsidRDefault="00024C77" w:rsidP="00606228">
      <w:pPr>
        <w:pStyle w:val="EndnoteText"/>
      </w:pPr>
    </w:p>
  </w:endnote>
  <w:endnote w:id="61">
    <w:p w:rsidR="00024C77" w:rsidRPr="00E053F7" w:rsidRDefault="00024C77" w:rsidP="00606228">
      <w:pPr>
        <w:pStyle w:val="EndnoteText"/>
      </w:pPr>
      <w:r w:rsidRPr="00E053F7">
        <w:rPr>
          <w:rStyle w:val="EndnoteReference"/>
        </w:rPr>
        <w:endnoteRef/>
      </w:r>
      <w:hyperlink r:id="rId51" w:history="1">
        <w:r w:rsidRPr="00E053F7">
          <w:rPr>
            <w:rStyle w:val="Hyperlink"/>
          </w:rPr>
          <w:t>https://www.federalregister.gov/articles/2013/07/24/2013-16962/amendments-to-the-2013-mortgage-rules-under-the-real-estate-settlement-procedures-act-regulation-x</w:t>
        </w:r>
      </w:hyperlink>
    </w:p>
    <w:p w:rsidR="00024C77" w:rsidRPr="00E053F7" w:rsidRDefault="00024C77" w:rsidP="00606228">
      <w:pPr>
        <w:pStyle w:val="EndnoteText"/>
      </w:pPr>
    </w:p>
  </w:endnote>
  <w:endnote w:id="62">
    <w:p w:rsidR="00024C77" w:rsidRPr="00E053F7" w:rsidRDefault="00024C77" w:rsidP="00606228">
      <w:pPr>
        <w:pStyle w:val="EndnoteText"/>
      </w:pPr>
      <w:r w:rsidRPr="00E053F7">
        <w:rPr>
          <w:rStyle w:val="EndnoteReference"/>
        </w:rPr>
        <w:endnoteRef/>
      </w:r>
      <w:hyperlink r:id="rId52" w:history="1">
        <w:r w:rsidRPr="00E053F7">
          <w:rPr>
            <w:rStyle w:val="Hyperlink"/>
          </w:rPr>
          <w:t>http://www.consumerfinance.gov/regulations/ability-to-repay-and-qualified-mortgage-standards-under-the-truth-in-lending-act-regulation-z/</w:t>
        </w:r>
      </w:hyperlink>
    </w:p>
    <w:p w:rsidR="00024C77" w:rsidRPr="00E053F7" w:rsidRDefault="00024C77" w:rsidP="00606228">
      <w:pPr>
        <w:pStyle w:val="EndnoteText"/>
      </w:pPr>
    </w:p>
  </w:endnote>
  <w:endnote w:id="63">
    <w:p w:rsidR="00024C77" w:rsidRPr="00E053F7" w:rsidRDefault="00024C77" w:rsidP="00606228">
      <w:pPr>
        <w:pStyle w:val="EndnoteText"/>
      </w:pPr>
      <w:r w:rsidRPr="00E053F7">
        <w:rPr>
          <w:rStyle w:val="EndnoteReference"/>
        </w:rPr>
        <w:endnoteRef/>
      </w:r>
      <w:hyperlink r:id="rId53" w:history="1">
        <w:r w:rsidRPr="00E053F7">
          <w:rPr>
            <w:rStyle w:val="Hyperlink"/>
          </w:rPr>
          <w:t>http://files.consumerfinance.gov/f/201301_cfpb_final-rule_high-cost-mortgages.pdf</w:t>
        </w:r>
      </w:hyperlink>
    </w:p>
    <w:p w:rsidR="00024C77" w:rsidRPr="00E053F7" w:rsidRDefault="00024C77" w:rsidP="00606228">
      <w:pPr>
        <w:pStyle w:val="EndnoteText"/>
      </w:pPr>
    </w:p>
  </w:endnote>
  <w:endnote w:id="64">
    <w:p w:rsidR="00024C77" w:rsidRPr="00E053F7" w:rsidRDefault="00024C77" w:rsidP="00606228">
      <w:pPr>
        <w:pStyle w:val="EndnoteText"/>
      </w:pPr>
      <w:r w:rsidRPr="00E053F7">
        <w:rPr>
          <w:rStyle w:val="EndnoteReference"/>
        </w:rPr>
        <w:endnoteRef/>
      </w:r>
      <w:r w:rsidRPr="00E053F7">
        <w:t xml:space="preserve"> </w:t>
      </w:r>
      <w:hyperlink r:id="rId54" w:history="1">
        <w:r w:rsidRPr="00E053F7">
          <w:rPr>
            <w:rStyle w:val="Hyperlink"/>
          </w:rPr>
          <w:t>http://www.gpo.gov/fdsys/pkg/FR-2013-12-04/pdf/2013-28951.pdf</w:t>
        </w:r>
      </w:hyperlink>
    </w:p>
    <w:p w:rsidR="00024C77" w:rsidRPr="00E053F7" w:rsidRDefault="00024C77" w:rsidP="00606228">
      <w:pPr>
        <w:pStyle w:val="EndnoteText"/>
      </w:pPr>
    </w:p>
  </w:endnote>
  <w:endnote w:id="65">
    <w:p w:rsidR="00024C77" w:rsidRPr="00E053F7" w:rsidRDefault="00024C77" w:rsidP="00606228">
      <w:pPr>
        <w:pStyle w:val="EndnoteText"/>
      </w:pPr>
      <w:r w:rsidRPr="00E053F7">
        <w:rPr>
          <w:rStyle w:val="EndnoteReference"/>
        </w:rPr>
        <w:endnoteRef/>
      </w:r>
      <w:hyperlink r:id="rId55" w:history="1">
        <w:r w:rsidRPr="00E053F7">
          <w:rPr>
            <w:rStyle w:val="Hyperlink"/>
          </w:rPr>
          <w:t>https://www.federalregister.gov/articles/2013/09/10/2013-20536/regulatory-capital-rules-regulatory-capital-implementation-of-basel-iii-capital-adequacy-transition</w:t>
        </w:r>
      </w:hyperlink>
    </w:p>
    <w:p w:rsidR="00024C77" w:rsidRPr="00E053F7" w:rsidRDefault="00024C77" w:rsidP="00606228">
      <w:pPr>
        <w:pStyle w:val="EndnoteText"/>
      </w:pPr>
    </w:p>
  </w:endnote>
  <w:endnote w:id="66">
    <w:p w:rsidR="00024C77" w:rsidRPr="00E053F7" w:rsidRDefault="00024C77" w:rsidP="00606228">
      <w:pPr>
        <w:pStyle w:val="EndnoteText"/>
      </w:pPr>
      <w:r w:rsidRPr="00E053F7">
        <w:rPr>
          <w:rStyle w:val="EndnoteReference"/>
        </w:rPr>
        <w:endnoteRef/>
      </w:r>
      <w:hyperlink r:id="rId56" w:history="1">
        <w:r w:rsidRPr="00E053F7">
          <w:rPr>
            <w:rStyle w:val="Hyperlink"/>
          </w:rPr>
          <w:t>https://www.federalregister.gov/articles/2013/10/11/2013-21653/regulatory-capital-rules-regulatory-capital-implementation-of-basel-iii-capital-adequacy-transition</w:t>
        </w:r>
      </w:hyperlink>
    </w:p>
    <w:p w:rsidR="00024C77" w:rsidRPr="00E053F7" w:rsidRDefault="00024C77" w:rsidP="00606228">
      <w:pPr>
        <w:pStyle w:val="EndnoteText"/>
      </w:pPr>
    </w:p>
  </w:endnote>
  <w:endnote w:id="67">
    <w:p w:rsidR="00024C77" w:rsidRPr="00E053F7" w:rsidRDefault="00024C77" w:rsidP="00606228">
      <w:pPr>
        <w:pStyle w:val="EndnoteText"/>
      </w:pPr>
      <w:r w:rsidRPr="00E053F7">
        <w:rPr>
          <w:rStyle w:val="EndnoteReference"/>
        </w:rPr>
        <w:endnoteRef/>
      </w:r>
      <w:hyperlink r:id="rId57" w:history="1">
        <w:r w:rsidRPr="00E053F7">
          <w:rPr>
            <w:rStyle w:val="Hyperlink"/>
          </w:rPr>
          <w:t>http://www.federalreserve.gov/newsevents/press/bcreg/20130702a.htm</w:t>
        </w:r>
      </w:hyperlink>
    </w:p>
    <w:p w:rsidR="00024C77" w:rsidRPr="00E053F7" w:rsidRDefault="00024C77" w:rsidP="00606228">
      <w:pPr>
        <w:pStyle w:val="EndnoteText"/>
      </w:pPr>
    </w:p>
  </w:endnote>
  <w:endnote w:id="68">
    <w:p w:rsidR="00024C77" w:rsidRPr="00E053F7" w:rsidRDefault="00024C77" w:rsidP="00606228">
      <w:pPr>
        <w:pStyle w:val="EndnoteText"/>
      </w:pPr>
      <w:r w:rsidRPr="00E053F7">
        <w:rPr>
          <w:rStyle w:val="EndnoteReference"/>
        </w:rPr>
        <w:endnoteRef/>
      </w:r>
      <w:r w:rsidRPr="00E053F7">
        <w:t xml:space="preserve"> </w:t>
      </w:r>
      <w:hyperlink r:id="rId58" w:history="1">
        <w:r w:rsidRPr="00E053F7">
          <w:rPr>
            <w:rStyle w:val="Hyperlink"/>
          </w:rPr>
          <w:t>http://www.fdic.gov/news/board/2013/2013-07-09_notice_dis_a_res.pdf</w:t>
        </w:r>
      </w:hyperlink>
    </w:p>
    <w:p w:rsidR="00024C77" w:rsidRPr="00E053F7" w:rsidRDefault="00024C77" w:rsidP="00606228">
      <w:pPr>
        <w:pStyle w:val="EndnoteText"/>
      </w:pPr>
    </w:p>
  </w:endnote>
  <w:endnote w:id="69">
    <w:p w:rsidR="00024C77" w:rsidRPr="00E053F7" w:rsidRDefault="00024C77" w:rsidP="00606228">
      <w:pPr>
        <w:pStyle w:val="EndnoteText"/>
      </w:pPr>
      <w:r w:rsidRPr="00E053F7">
        <w:rPr>
          <w:rStyle w:val="EndnoteReference"/>
        </w:rPr>
        <w:endnoteRef/>
      </w:r>
      <w:r w:rsidRPr="00E053F7">
        <w:t xml:space="preserve"> </w:t>
      </w:r>
      <w:hyperlink r:id="rId59" w:history="1">
        <w:r w:rsidRPr="00E053F7">
          <w:rPr>
            <w:rStyle w:val="Hyperlink"/>
          </w:rPr>
          <w:t>http://www.fdic.gov/news/board/2013/2013-07-09_notice_dis_b_res.pdf</w:t>
        </w:r>
      </w:hyperlink>
    </w:p>
    <w:p w:rsidR="00024C77" w:rsidRPr="00E053F7" w:rsidRDefault="00024C77" w:rsidP="00606228">
      <w:pPr>
        <w:pStyle w:val="EndnoteText"/>
      </w:pPr>
    </w:p>
  </w:endnote>
  <w:endnote w:id="70">
    <w:p w:rsidR="00024C77" w:rsidRPr="00E053F7" w:rsidRDefault="00024C77" w:rsidP="00606228">
      <w:pPr>
        <w:pStyle w:val="EndnoteText"/>
      </w:pPr>
      <w:r w:rsidRPr="00E053F7">
        <w:rPr>
          <w:rStyle w:val="EndnoteReference"/>
        </w:rPr>
        <w:endnoteRef/>
      </w:r>
      <w:r w:rsidRPr="00E053F7">
        <w:t xml:space="preserve"> </w:t>
      </w:r>
      <w:hyperlink r:id="rId60" w:history="1">
        <w:r w:rsidRPr="00E053F7">
          <w:rPr>
            <w:rStyle w:val="Hyperlink"/>
          </w:rPr>
          <w:t>http://www.occ.gov/news-issuances/news-releases/2013/nr-occ-2013-110.html</w:t>
        </w:r>
      </w:hyperlink>
    </w:p>
    <w:p w:rsidR="00024C77" w:rsidRPr="00E053F7" w:rsidRDefault="00024C77" w:rsidP="00606228">
      <w:pPr>
        <w:pStyle w:val="EndnoteText"/>
      </w:pPr>
    </w:p>
  </w:endnote>
  <w:endnote w:id="71">
    <w:p w:rsidR="00024C77" w:rsidRPr="00E053F7" w:rsidRDefault="00024C77" w:rsidP="00846E2C">
      <w:pPr>
        <w:pStyle w:val="EndnoteText"/>
      </w:pPr>
      <w:r w:rsidRPr="00E053F7">
        <w:rPr>
          <w:rStyle w:val="EndnoteReference"/>
        </w:rPr>
        <w:endnoteRef/>
      </w:r>
      <w:hyperlink r:id="rId61" w:history="1">
        <w:r w:rsidRPr="00E053F7">
          <w:rPr>
            <w:rStyle w:val="Hyperlink"/>
          </w:rPr>
          <w:t>https://www.federalregister.gov/articles/2013/09/17/2013-22583/federal-housing-administration-fha-approval-of-lending-institutions-and-mortgagees-streamlined</w:t>
        </w:r>
      </w:hyperlink>
    </w:p>
    <w:p w:rsidR="00024C77" w:rsidRPr="00E053F7" w:rsidRDefault="00024C77" w:rsidP="00846E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77" w:rsidRPr="00483C8A" w:rsidRDefault="00024C77" w:rsidP="004C5AE8">
    <w:pPr>
      <w:pStyle w:val="Footer"/>
      <w:pBdr>
        <w:bottom w:val="single" w:sz="6" w:space="1" w:color="auto"/>
      </w:pBdr>
      <w:rPr>
        <w:rStyle w:val="PageNumber"/>
      </w:rPr>
    </w:pPr>
  </w:p>
  <w:p w:rsidR="00024C77" w:rsidRDefault="00024C77" w:rsidP="004C5AE8">
    <w:pPr>
      <w:pStyle w:val="Footer"/>
      <w:rPr>
        <w:rStyle w:val="PageNumber"/>
        <w:rFonts w:ascii="Arial" w:hAnsi="Arial" w:cs="Arial"/>
        <w:b/>
        <w:color w:val="000080"/>
        <w:sz w:val="8"/>
        <w:szCs w:val="8"/>
      </w:rPr>
    </w:pPr>
  </w:p>
  <w:p w:rsidR="00024C77" w:rsidRPr="008C50BB" w:rsidRDefault="00024C77" w:rsidP="00C140E8">
    <w:pPr>
      <w:pStyle w:val="Footer"/>
      <w:jc w:val="center"/>
      <w:rPr>
        <w:rFonts w:ascii="Georgia" w:hAnsi="Georgia" w:cs="Arial"/>
        <w:b/>
        <w:color w:val="006600"/>
      </w:rPr>
    </w:pPr>
    <w:r w:rsidRPr="008C50BB">
      <w:rPr>
        <w:rStyle w:val="PageNumber"/>
        <w:rFonts w:ascii="Georgia" w:hAnsi="Georgia" w:cs="Arial"/>
        <w:b/>
        <w:color w:val="006600"/>
      </w:rPr>
      <w:t xml:space="preserve">C A P I T O L    C O M </w:t>
    </w:r>
    <w:proofErr w:type="spellStart"/>
    <w:r w:rsidRPr="008C50BB">
      <w:rPr>
        <w:rStyle w:val="PageNumber"/>
        <w:rFonts w:ascii="Georgia" w:hAnsi="Georgia" w:cs="Arial"/>
        <w:b/>
        <w:color w:val="006600"/>
      </w:rPr>
      <w:t>M</w:t>
    </w:r>
    <w:proofErr w:type="spellEnd"/>
    <w:r w:rsidRPr="008C50BB">
      <w:rPr>
        <w:rStyle w:val="PageNumber"/>
        <w:rFonts w:ascii="Georgia" w:hAnsi="Georgia" w:cs="Arial"/>
        <w:b/>
        <w:color w:val="006600"/>
      </w:rPr>
      <w:t xml:space="preserve"> E N T S </w:t>
    </w:r>
    <w:r>
      <w:rPr>
        <w:rStyle w:val="PageNumber"/>
        <w:rFonts w:ascii="Georgia" w:hAnsi="Georgia" w:cs="Arial"/>
        <w:b/>
        <w:color w:val="006600"/>
      </w:rPr>
      <w:t xml:space="preserve">  </w:t>
    </w:r>
    <w:r w:rsidRPr="008C50BB">
      <w:rPr>
        <w:rStyle w:val="PageNumber"/>
        <w:rFonts w:ascii="Georgia" w:hAnsi="Georgia" w:cs="Arial"/>
        <w:b/>
        <w:color w:val="006600"/>
      </w:rPr>
      <w:t xml:space="preserve">  </w:t>
    </w:r>
    <w:r>
      <w:rPr>
        <w:rStyle w:val="PageNumber"/>
        <w:rFonts w:ascii="Georgia" w:hAnsi="Georgia" w:cs="Arial"/>
        <w:b/>
        <w:color w:val="006600"/>
      </w:rPr>
      <w:t xml:space="preserve">A U G U S T   </w:t>
    </w:r>
    <w:r w:rsidRPr="008C50BB">
      <w:rPr>
        <w:rStyle w:val="PageNumber"/>
        <w:rFonts w:ascii="Georgia" w:hAnsi="Georgia" w:cs="Arial"/>
        <w:b/>
        <w:color w:val="006600"/>
      </w:rPr>
      <w:t xml:space="preserve">2 0 1 </w:t>
    </w:r>
    <w:r>
      <w:rPr>
        <w:rStyle w:val="PageNumber"/>
        <w:rFonts w:ascii="Georgia" w:hAnsi="Georgia" w:cs="Arial"/>
        <w:b/>
        <w:color w:val="006600"/>
      </w:rPr>
      <w:t>4</w:t>
    </w:r>
    <w:r w:rsidRPr="008C50BB">
      <w:rPr>
        <w:rStyle w:val="PageNumber"/>
        <w:rFonts w:ascii="Georgia" w:hAnsi="Georgia" w:cs="Arial"/>
        <w:b/>
        <w:color w:val="006600"/>
      </w:rPr>
      <w:t xml:space="preserve">   </w:t>
    </w:r>
    <w:r w:rsidRPr="00A85CC8">
      <w:rPr>
        <w:rStyle w:val="PageNumber"/>
        <w:rFonts w:ascii="Georgia" w:hAnsi="Georgia" w:cs="Arial"/>
        <w:b/>
        <w:color w:val="006600"/>
      </w:rPr>
      <w:t xml:space="preserve">Page </w:t>
    </w:r>
    <w:r w:rsidR="00C34789" w:rsidRPr="00A85CC8">
      <w:rPr>
        <w:rStyle w:val="PageNumber"/>
        <w:rFonts w:ascii="Georgia" w:hAnsi="Georgia" w:cs="Arial"/>
        <w:b/>
        <w:color w:val="006600"/>
      </w:rPr>
      <w:fldChar w:fldCharType="begin"/>
    </w:r>
    <w:r w:rsidRPr="00A85CC8">
      <w:rPr>
        <w:rStyle w:val="PageNumber"/>
        <w:rFonts w:ascii="Georgia" w:hAnsi="Georgia" w:cs="Arial"/>
        <w:b/>
        <w:color w:val="006600"/>
      </w:rPr>
      <w:instrText xml:space="preserve"> PAGE </w:instrText>
    </w:r>
    <w:r w:rsidR="00C34789" w:rsidRPr="00A85CC8">
      <w:rPr>
        <w:rStyle w:val="PageNumber"/>
        <w:rFonts w:ascii="Georgia" w:hAnsi="Georgia" w:cs="Arial"/>
        <w:b/>
        <w:color w:val="006600"/>
      </w:rPr>
      <w:fldChar w:fldCharType="separate"/>
    </w:r>
    <w:r w:rsidR="005625BA">
      <w:rPr>
        <w:rStyle w:val="PageNumber"/>
        <w:rFonts w:ascii="Georgia" w:hAnsi="Georgia" w:cs="Arial"/>
        <w:b/>
        <w:noProof/>
        <w:color w:val="006600"/>
      </w:rPr>
      <w:t>23</w:t>
    </w:r>
    <w:r w:rsidR="00C34789" w:rsidRPr="00A85CC8">
      <w:rPr>
        <w:rStyle w:val="PageNumber"/>
        <w:rFonts w:ascii="Georgia" w:hAnsi="Georgia" w:cs="Arial"/>
        <w:b/>
        <w:color w:val="0066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C4" w:rsidRDefault="006B55C4">
      <w:r>
        <w:separator/>
      </w:r>
    </w:p>
  </w:footnote>
  <w:footnote w:type="continuationSeparator" w:id="0">
    <w:p w:rsidR="006B55C4" w:rsidRDefault="006B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mso-wrap-style:square" o:bullet="t">
        <v:imagedata r:id="rId1" o:title=""/>
      </v:shape>
    </w:pict>
  </w:numPicBullet>
  <w:abstractNum w:abstractNumId="0">
    <w:nsid w:val="01C178D1"/>
    <w:multiLevelType w:val="hybridMultilevel"/>
    <w:tmpl w:val="79CC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4071"/>
    <w:multiLevelType w:val="hybridMultilevel"/>
    <w:tmpl w:val="06CE8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218C1"/>
    <w:multiLevelType w:val="multilevel"/>
    <w:tmpl w:val="8E58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52F3A"/>
    <w:multiLevelType w:val="multilevel"/>
    <w:tmpl w:val="0FD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34B87"/>
    <w:multiLevelType w:val="hybridMultilevel"/>
    <w:tmpl w:val="8B7CA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030F8"/>
    <w:multiLevelType w:val="hybridMultilevel"/>
    <w:tmpl w:val="C6F4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2422D"/>
    <w:multiLevelType w:val="hybridMultilevel"/>
    <w:tmpl w:val="E34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E5D82"/>
    <w:multiLevelType w:val="hybridMultilevel"/>
    <w:tmpl w:val="D57A21B0"/>
    <w:lvl w:ilvl="0" w:tplc="1FDCA8CA">
      <w:numFmt w:val="bullet"/>
      <w:lvlText w:val="•"/>
      <w:lvlJc w:val="left"/>
      <w:pPr>
        <w:ind w:left="1080" w:hanging="72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4027C"/>
    <w:multiLevelType w:val="hybridMultilevel"/>
    <w:tmpl w:val="EC148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A436F"/>
    <w:multiLevelType w:val="hybridMultilevel"/>
    <w:tmpl w:val="593A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440CD7"/>
    <w:multiLevelType w:val="multilevel"/>
    <w:tmpl w:val="835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EA02EC"/>
    <w:multiLevelType w:val="hybridMultilevel"/>
    <w:tmpl w:val="70CA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67A45"/>
    <w:multiLevelType w:val="hybridMultilevel"/>
    <w:tmpl w:val="1B3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886AC4"/>
    <w:multiLevelType w:val="hybridMultilevel"/>
    <w:tmpl w:val="B2D4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14C91"/>
    <w:multiLevelType w:val="hybridMultilevel"/>
    <w:tmpl w:val="593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CC2DC2"/>
    <w:multiLevelType w:val="hybridMultilevel"/>
    <w:tmpl w:val="30BA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A86D7B"/>
    <w:multiLevelType w:val="multilevel"/>
    <w:tmpl w:val="93DA7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282361"/>
    <w:multiLevelType w:val="hybridMultilevel"/>
    <w:tmpl w:val="E41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F2793"/>
    <w:multiLevelType w:val="hybridMultilevel"/>
    <w:tmpl w:val="B7F8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67F17"/>
    <w:multiLevelType w:val="hybridMultilevel"/>
    <w:tmpl w:val="AFB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F7BEF"/>
    <w:multiLevelType w:val="hybridMultilevel"/>
    <w:tmpl w:val="C4B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117384"/>
    <w:multiLevelType w:val="hybridMultilevel"/>
    <w:tmpl w:val="BEE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B559C5"/>
    <w:multiLevelType w:val="hybridMultilevel"/>
    <w:tmpl w:val="3DC0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602FC"/>
    <w:multiLevelType w:val="multilevel"/>
    <w:tmpl w:val="5F4C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B1F75"/>
    <w:multiLevelType w:val="hybridMultilevel"/>
    <w:tmpl w:val="FAC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D3BE7"/>
    <w:multiLevelType w:val="hybridMultilevel"/>
    <w:tmpl w:val="B206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28278C"/>
    <w:multiLevelType w:val="hybridMultilevel"/>
    <w:tmpl w:val="D764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A7609B"/>
    <w:multiLevelType w:val="multilevel"/>
    <w:tmpl w:val="E1A87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2381CAD"/>
    <w:multiLevelType w:val="hybridMultilevel"/>
    <w:tmpl w:val="8DC6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D5A31"/>
    <w:multiLevelType w:val="hybridMultilevel"/>
    <w:tmpl w:val="BAC0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32936"/>
    <w:multiLevelType w:val="hybridMultilevel"/>
    <w:tmpl w:val="5EE0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62D97"/>
    <w:multiLevelType w:val="hybridMultilevel"/>
    <w:tmpl w:val="7EF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74DD5"/>
    <w:multiLevelType w:val="hybridMultilevel"/>
    <w:tmpl w:val="DB8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44B5A"/>
    <w:multiLevelType w:val="hybridMultilevel"/>
    <w:tmpl w:val="E4D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D76C9"/>
    <w:multiLevelType w:val="hybridMultilevel"/>
    <w:tmpl w:val="853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955C9"/>
    <w:multiLevelType w:val="hybridMultilevel"/>
    <w:tmpl w:val="A61AE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13327"/>
    <w:multiLevelType w:val="hybridMultilevel"/>
    <w:tmpl w:val="4DBA5FD4"/>
    <w:lvl w:ilvl="0" w:tplc="DEE6DD74">
      <w:start w:val="1"/>
      <w:numFmt w:val="bullet"/>
      <w:lvlText w:val=""/>
      <w:lvlPicBulletId w:val="0"/>
      <w:lvlJc w:val="left"/>
      <w:pPr>
        <w:tabs>
          <w:tab w:val="num" w:pos="720"/>
        </w:tabs>
        <w:ind w:left="720" w:hanging="360"/>
      </w:pPr>
      <w:rPr>
        <w:rFonts w:ascii="Symbol" w:hAnsi="Symbol" w:hint="default"/>
      </w:rPr>
    </w:lvl>
    <w:lvl w:ilvl="1" w:tplc="54EE96D4" w:tentative="1">
      <w:start w:val="1"/>
      <w:numFmt w:val="bullet"/>
      <w:lvlText w:val=""/>
      <w:lvlJc w:val="left"/>
      <w:pPr>
        <w:tabs>
          <w:tab w:val="num" w:pos="1440"/>
        </w:tabs>
        <w:ind w:left="1440" w:hanging="360"/>
      </w:pPr>
      <w:rPr>
        <w:rFonts w:ascii="Symbol" w:hAnsi="Symbol" w:hint="default"/>
      </w:rPr>
    </w:lvl>
    <w:lvl w:ilvl="2" w:tplc="D4B0F9DA" w:tentative="1">
      <w:start w:val="1"/>
      <w:numFmt w:val="bullet"/>
      <w:lvlText w:val=""/>
      <w:lvlJc w:val="left"/>
      <w:pPr>
        <w:tabs>
          <w:tab w:val="num" w:pos="2160"/>
        </w:tabs>
        <w:ind w:left="2160" w:hanging="360"/>
      </w:pPr>
      <w:rPr>
        <w:rFonts w:ascii="Symbol" w:hAnsi="Symbol" w:hint="default"/>
      </w:rPr>
    </w:lvl>
    <w:lvl w:ilvl="3" w:tplc="C4DEFCE8" w:tentative="1">
      <w:start w:val="1"/>
      <w:numFmt w:val="bullet"/>
      <w:lvlText w:val=""/>
      <w:lvlJc w:val="left"/>
      <w:pPr>
        <w:tabs>
          <w:tab w:val="num" w:pos="2880"/>
        </w:tabs>
        <w:ind w:left="2880" w:hanging="360"/>
      </w:pPr>
      <w:rPr>
        <w:rFonts w:ascii="Symbol" w:hAnsi="Symbol" w:hint="default"/>
      </w:rPr>
    </w:lvl>
    <w:lvl w:ilvl="4" w:tplc="1D6623A8" w:tentative="1">
      <w:start w:val="1"/>
      <w:numFmt w:val="bullet"/>
      <w:lvlText w:val=""/>
      <w:lvlJc w:val="left"/>
      <w:pPr>
        <w:tabs>
          <w:tab w:val="num" w:pos="3600"/>
        </w:tabs>
        <w:ind w:left="3600" w:hanging="360"/>
      </w:pPr>
      <w:rPr>
        <w:rFonts w:ascii="Symbol" w:hAnsi="Symbol" w:hint="default"/>
      </w:rPr>
    </w:lvl>
    <w:lvl w:ilvl="5" w:tplc="70D8771A" w:tentative="1">
      <w:start w:val="1"/>
      <w:numFmt w:val="bullet"/>
      <w:lvlText w:val=""/>
      <w:lvlJc w:val="left"/>
      <w:pPr>
        <w:tabs>
          <w:tab w:val="num" w:pos="4320"/>
        </w:tabs>
        <w:ind w:left="4320" w:hanging="360"/>
      </w:pPr>
      <w:rPr>
        <w:rFonts w:ascii="Symbol" w:hAnsi="Symbol" w:hint="default"/>
      </w:rPr>
    </w:lvl>
    <w:lvl w:ilvl="6" w:tplc="9250790C" w:tentative="1">
      <w:start w:val="1"/>
      <w:numFmt w:val="bullet"/>
      <w:lvlText w:val=""/>
      <w:lvlJc w:val="left"/>
      <w:pPr>
        <w:tabs>
          <w:tab w:val="num" w:pos="5040"/>
        </w:tabs>
        <w:ind w:left="5040" w:hanging="360"/>
      </w:pPr>
      <w:rPr>
        <w:rFonts w:ascii="Symbol" w:hAnsi="Symbol" w:hint="default"/>
      </w:rPr>
    </w:lvl>
    <w:lvl w:ilvl="7" w:tplc="5964B9BC" w:tentative="1">
      <w:start w:val="1"/>
      <w:numFmt w:val="bullet"/>
      <w:lvlText w:val=""/>
      <w:lvlJc w:val="left"/>
      <w:pPr>
        <w:tabs>
          <w:tab w:val="num" w:pos="5760"/>
        </w:tabs>
        <w:ind w:left="5760" w:hanging="360"/>
      </w:pPr>
      <w:rPr>
        <w:rFonts w:ascii="Symbol" w:hAnsi="Symbol" w:hint="default"/>
      </w:rPr>
    </w:lvl>
    <w:lvl w:ilvl="8" w:tplc="D14E3D06" w:tentative="1">
      <w:start w:val="1"/>
      <w:numFmt w:val="bullet"/>
      <w:lvlText w:val=""/>
      <w:lvlJc w:val="left"/>
      <w:pPr>
        <w:tabs>
          <w:tab w:val="num" w:pos="6480"/>
        </w:tabs>
        <w:ind w:left="6480" w:hanging="360"/>
      </w:pPr>
      <w:rPr>
        <w:rFonts w:ascii="Symbol" w:hAnsi="Symbol" w:hint="default"/>
      </w:rPr>
    </w:lvl>
  </w:abstractNum>
  <w:abstractNum w:abstractNumId="37">
    <w:nsid w:val="69BA4C37"/>
    <w:multiLevelType w:val="hybridMultilevel"/>
    <w:tmpl w:val="1EDC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B3588"/>
    <w:multiLevelType w:val="hybridMultilevel"/>
    <w:tmpl w:val="A09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B3E5C"/>
    <w:multiLevelType w:val="multilevel"/>
    <w:tmpl w:val="2CAE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AE4E1E"/>
    <w:multiLevelType w:val="multilevel"/>
    <w:tmpl w:val="22F68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A4A5E"/>
    <w:multiLevelType w:val="hybridMultilevel"/>
    <w:tmpl w:val="9C40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C66447"/>
    <w:multiLevelType w:val="hybridMultilevel"/>
    <w:tmpl w:val="BC2C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C217A"/>
    <w:multiLevelType w:val="multilevel"/>
    <w:tmpl w:val="087E1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83A72"/>
    <w:multiLevelType w:val="multilevel"/>
    <w:tmpl w:val="D15E9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12"/>
  </w:num>
  <w:num w:numId="4">
    <w:abstractNumId w:val="21"/>
  </w:num>
  <w:num w:numId="5">
    <w:abstractNumId w:val="29"/>
  </w:num>
  <w:num w:numId="6">
    <w:abstractNumId w:val="25"/>
  </w:num>
  <w:num w:numId="7">
    <w:abstractNumId w:val="33"/>
  </w:num>
  <w:num w:numId="8">
    <w:abstractNumId w:val="14"/>
  </w:num>
  <w:num w:numId="9">
    <w:abstractNumId w:val="9"/>
  </w:num>
  <w:num w:numId="10">
    <w:abstractNumId w:val="10"/>
  </w:num>
  <w:num w:numId="11">
    <w:abstractNumId w:val="0"/>
  </w:num>
  <w:num w:numId="12">
    <w:abstractNumId w:val="15"/>
  </w:num>
  <w:num w:numId="13">
    <w:abstractNumId w:val="32"/>
  </w:num>
  <w:num w:numId="14">
    <w:abstractNumId w:val="22"/>
  </w:num>
  <w:num w:numId="15">
    <w:abstractNumId w:val="38"/>
  </w:num>
  <w:num w:numId="16">
    <w:abstractNumId w:val="20"/>
  </w:num>
  <w:num w:numId="17">
    <w:abstractNumId w:val="11"/>
  </w:num>
  <w:num w:numId="18">
    <w:abstractNumId w:val="13"/>
  </w:num>
  <w:num w:numId="19">
    <w:abstractNumId w:val="35"/>
  </w:num>
  <w:num w:numId="20">
    <w:abstractNumId w:val="4"/>
  </w:num>
  <w:num w:numId="21">
    <w:abstractNumId w:val="8"/>
  </w:num>
  <w:num w:numId="22">
    <w:abstractNumId w:val="1"/>
  </w:num>
  <w:num w:numId="23">
    <w:abstractNumId w:val="42"/>
  </w:num>
  <w:num w:numId="24">
    <w:abstractNumId w:val="24"/>
  </w:num>
  <w:num w:numId="25">
    <w:abstractNumId w:val="18"/>
  </w:num>
  <w:num w:numId="26">
    <w:abstractNumId w:val="3"/>
  </w:num>
  <w:num w:numId="27">
    <w:abstractNumId w:val="2"/>
  </w:num>
  <w:num w:numId="28">
    <w:abstractNumId w:val="40"/>
  </w:num>
  <w:num w:numId="29">
    <w:abstractNumId w:val="6"/>
  </w:num>
  <w:num w:numId="30">
    <w:abstractNumId w:val="31"/>
  </w:num>
  <w:num w:numId="31">
    <w:abstractNumId w:val="17"/>
  </w:num>
  <w:num w:numId="32">
    <w:abstractNumId w:val="30"/>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num>
  <w:num w:numId="36">
    <w:abstractNumId w:val="7"/>
  </w:num>
  <w:num w:numId="37">
    <w:abstractNumId w:val="39"/>
  </w:num>
  <w:num w:numId="38">
    <w:abstractNumId w:val="44"/>
  </w:num>
  <w:num w:numId="39">
    <w:abstractNumId w:val="16"/>
  </w:num>
  <w:num w:numId="40">
    <w:abstractNumId w:val="43"/>
  </w:num>
  <w:num w:numId="41">
    <w:abstractNumId w:val="37"/>
  </w:num>
  <w:num w:numId="42">
    <w:abstractNumId w:val="5"/>
  </w:num>
  <w:num w:numId="43">
    <w:abstractNumId w:val="28"/>
  </w:num>
  <w:num w:numId="44">
    <w:abstractNumId w:val="34"/>
  </w:num>
  <w:num w:numId="45">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E8"/>
    <w:rsid w:val="00000A54"/>
    <w:rsid w:val="000011E1"/>
    <w:rsid w:val="00001AF7"/>
    <w:rsid w:val="00001B2B"/>
    <w:rsid w:val="00001DBA"/>
    <w:rsid w:val="00001DF7"/>
    <w:rsid w:val="00001EB3"/>
    <w:rsid w:val="00002AC3"/>
    <w:rsid w:val="00002B29"/>
    <w:rsid w:val="00002BD1"/>
    <w:rsid w:val="00002CA5"/>
    <w:rsid w:val="00003172"/>
    <w:rsid w:val="00003316"/>
    <w:rsid w:val="000039F2"/>
    <w:rsid w:val="00003B28"/>
    <w:rsid w:val="00003EDD"/>
    <w:rsid w:val="000041B7"/>
    <w:rsid w:val="000052BC"/>
    <w:rsid w:val="000054AB"/>
    <w:rsid w:val="000054B1"/>
    <w:rsid w:val="00005582"/>
    <w:rsid w:val="000057D3"/>
    <w:rsid w:val="000058D6"/>
    <w:rsid w:val="00005A0B"/>
    <w:rsid w:val="00005C72"/>
    <w:rsid w:val="00006665"/>
    <w:rsid w:val="00006709"/>
    <w:rsid w:val="000071C0"/>
    <w:rsid w:val="00007713"/>
    <w:rsid w:val="00007D4F"/>
    <w:rsid w:val="00007EF4"/>
    <w:rsid w:val="000108A6"/>
    <w:rsid w:val="00010DAB"/>
    <w:rsid w:val="00010F33"/>
    <w:rsid w:val="000114E4"/>
    <w:rsid w:val="0001196F"/>
    <w:rsid w:val="000120F0"/>
    <w:rsid w:val="00012797"/>
    <w:rsid w:val="0001290D"/>
    <w:rsid w:val="00012DE5"/>
    <w:rsid w:val="000132D4"/>
    <w:rsid w:val="000135B5"/>
    <w:rsid w:val="00013995"/>
    <w:rsid w:val="00013DDE"/>
    <w:rsid w:val="00013ED6"/>
    <w:rsid w:val="00014A93"/>
    <w:rsid w:val="00014B4C"/>
    <w:rsid w:val="000150E0"/>
    <w:rsid w:val="0001526C"/>
    <w:rsid w:val="00015F14"/>
    <w:rsid w:val="0001642F"/>
    <w:rsid w:val="00016E5F"/>
    <w:rsid w:val="00016ECE"/>
    <w:rsid w:val="00017484"/>
    <w:rsid w:val="0001779D"/>
    <w:rsid w:val="00017991"/>
    <w:rsid w:val="000208C9"/>
    <w:rsid w:val="00020A66"/>
    <w:rsid w:val="00020B6B"/>
    <w:rsid w:val="00020C2A"/>
    <w:rsid w:val="0002190E"/>
    <w:rsid w:val="00021A52"/>
    <w:rsid w:val="00021E55"/>
    <w:rsid w:val="00022051"/>
    <w:rsid w:val="000220C0"/>
    <w:rsid w:val="00022699"/>
    <w:rsid w:val="0002272B"/>
    <w:rsid w:val="000227E5"/>
    <w:rsid w:val="0002306F"/>
    <w:rsid w:val="00023AFD"/>
    <w:rsid w:val="00024010"/>
    <w:rsid w:val="0002433B"/>
    <w:rsid w:val="0002445E"/>
    <w:rsid w:val="000247B1"/>
    <w:rsid w:val="000249D2"/>
    <w:rsid w:val="00024B5B"/>
    <w:rsid w:val="00024B5C"/>
    <w:rsid w:val="00024C77"/>
    <w:rsid w:val="00024F5D"/>
    <w:rsid w:val="00025C1C"/>
    <w:rsid w:val="00025CD7"/>
    <w:rsid w:val="000265FE"/>
    <w:rsid w:val="000269CC"/>
    <w:rsid w:val="00026A62"/>
    <w:rsid w:val="00027397"/>
    <w:rsid w:val="00027469"/>
    <w:rsid w:val="00027528"/>
    <w:rsid w:val="00030555"/>
    <w:rsid w:val="00030955"/>
    <w:rsid w:val="00031474"/>
    <w:rsid w:val="00031ABF"/>
    <w:rsid w:val="00032086"/>
    <w:rsid w:val="00032177"/>
    <w:rsid w:val="000326D0"/>
    <w:rsid w:val="000326EC"/>
    <w:rsid w:val="00032CA5"/>
    <w:rsid w:val="00032E88"/>
    <w:rsid w:val="00033006"/>
    <w:rsid w:val="000331C5"/>
    <w:rsid w:val="00033E4F"/>
    <w:rsid w:val="000349FE"/>
    <w:rsid w:val="00035155"/>
    <w:rsid w:val="000352E5"/>
    <w:rsid w:val="000359F8"/>
    <w:rsid w:val="00036123"/>
    <w:rsid w:val="000361E4"/>
    <w:rsid w:val="00036549"/>
    <w:rsid w:val="00036654"/>
    <w:rsid w:val="0003684B"/>
    <w:rsid w:val="00036F43"/>
    <w:rsid w:val="00037293"/>
    <w:rsid w:val="00037492"/>
    <w:rsid w:val="000374C8"/>
    <w:rsid w:val="00041423"/>
    <w:rsid w:val="00041B10"/>
    <w:rsid w:val="00041B55"/>
    <w:rsid w:val="000420AA"/>
    <w:rsid w:val="00042CFD"/>
    <w:rsid w:val="0004327C"/>
    <w:rsid w:val="00043290"/>
    <w:rsid w:val="0004332C"/>
    <w:rsid w:val="00043AAD"/>
    <w:rsid w:val="00043FAB"/>
    <w:rsid w:val="00044342"/>
    <w:rsid w:val="00045418"/>
    <w:rsid w:val="00046157"/>
    <w:rsid w:val="00046B09"/>
    <w:rsid w:val="00046B83"/>
    <w:rsid w:val="000470DA"/>
    <w:rsid w:val="00047507"/>
    <w:rsid w:val="00050190"/>
    <w:rsid w:val="00050624"/>
    <w:rsid w:val="0005064F"/>
    <w:rsid w:val="00050F9B"/>
    <w:rsid w:val="00051450"/>
    <w:rsid w:val="00051772"/>
    <w:rsid w:val="00051C69"/>
    <w:rsid w:val="00051CED"/>
    <w:rsid w:val="00051FE7"/>
    <w:rsid w:val="00052B50"/>
    <w:rsid w:val="000532F0"/>
    <w:rsid w:val="00053830"/>
    <w:rsid w:val="00053F37"/>
    <w:rsid w:val="000544B0"/>
    <w:rsid w:val="000547A4"/>
    <w:rsid w:val="00054B16"/>
    <w:rsid w:val="00055074"/>
    <w:rsid w:val="00055249"/>
    <w:rsid w:val="000558BD"/>
    <w:rsid w:val="00055D73"/>
    <w:rsid w:val="00055E6F"/>
    <w:rsid w:val="0005662B"/>
    <w:rsid w:val="000568DB"/>
    <w:rsid w:val="0005740F"/>
    <w:rsid w:val="000577E6"/>
    <w:rsid w:val="00057873"/>
    <w:rsid w:val="00057D26"/>
    <w:rsid w:val="00060D37"/>
    <w:rsid w:val="00061E3D"/>
    <w:rsid w:val="00062734"/>
    <w:rsid w:val="00062EA0"/>
    <w:rsid w:val="0006302E"/>
    <w:rsid w:val="00063F07"/>
    <w:rsid w:val="0006410B"/>
    <w:rsid w:val="000643F9"/>
    <w:rsid w:val="0006461F"/>
    <w:rsid w:val="00065055"/>
    <w:rsid w:val="000657FD"/>
    <w:rsid w:val="00065919"/>
    <w:rsid w:val="00065BF2"/>
    <w:rsid w:val="00065FCE"/>
    <w:rsid w:val="000660AD"/>
    <w:rsid w:val="00066A26"/>
    <w:rsid w:val="00066B0C"/>
    <w:rsid w:val="00066B57"/>
    <w:rsid w:val="00067942"/>
    <w:rsid w:val="00067B08"/>
    <w:rsid w:val="00070606"/>
    <w:rsid w:val="00070710"/>
    <w:rsid w:val="00070D82"/>
    <w:rsid w:val="00071077"/>
    <w:rsid w:val="00071396"/>
    <w:rsid w:val="00071769"/>
    <w:rsid w:val="00071E65"/>
    <w:rsid w:val="000728EE"/>
    <w:rsid w:val="00073234"/>
    <w:rsid w:val="0007338B"/>
    <w:rsid w:val="00073520"/>
    <w:rsid w:val="00073597"/>
    <w:rsid w:val="000735E9"/>
    <w:rsid w:val="00073A07"/>
    <w:rsid w:val="00073DAC"/>
    <w:rsid w:val="00073EC2"/>
    <w:rsid w:val="00074953"/>
    <w:rsid w:val="000749EF"/>
    <w:rsid w:val="000750E1"/>
    <w:rsid w:val="000755AC"/>
    <w:rsid w:val="000758E3"/>
    <w:rsid w:val="00075A7D"/>
    <w:rsid w:val="00076136"/>
    <w:rsid w:val="0007637B"/>
    <w:rsid w:val="00077BDA"/>
    <w:rsid w:val="00077C7F"/>
    <w:rsid w:val="00080340"/>
    <w:rsid w:val="000805F7"/>
    <w:rsid w:val="00080837"/>
    <w:rsid w:val="000808F2"/>
    <w:rsid w:val="000810C2"/>
    <w:rsid w:val="000814E6"/>
    <w:rsid w:val="00082007"/>
    <w:rsid w:val="00082597"/>
    <w:rsid w:val="00082917"/>
    <w:rsid w:val="00083278"/>
    <w:rsid w:val="00083533"/>
    <w:rsid w:val="000845AD"/>
    <w:rsid w:val="0008482E"/>
    <w:rsid w:val="000863DA"/>
    <w:rsid w:val="00086AA7"/>
    <w:rsid w:val="00086ECE"/>
    <w:rsid w:val="000876FD"/>
    <w:rsid w:val="000879DF"/>
    <w:rsid w:val="00087CAA"/>
    <w:rsid w:val="00090586"/>
    <w:rsid w:val="0009088E"/>
    <w:rsid w:val="0009128D"/>
    <w:rsid w:val="00091548"/>
    <w:rsid w:val="00091A3A"/>
    <w:rsid w:val="00091D06"/>
    <w:rsid w:val="00091D32"/>
    <w:rsid w:val="00091F32"/>
    <w:rsid w:val="00092962"/>
    <w:rsid w:val="00092B4D"/>
    <w:rsid w:val="000930D0"/>
    <w:rsid w:val="00093161"/>
    <w:rsid w:val="00093935"/>
    <w:rsid w:val="00093E7E"/>
    <w:rsid w:val="00093EEF"/>
    <w:rsid w:val="00094017"/>
    <w:rsid w:val="000943DB"/>
    <w:rsid w:val="00094524"/>
    <w:rsid w:val="00094EDB"/>
    <w:rsid w:val="0009511E"/>
    <w:rsid w:val="000954CB"/>
    <w:rsid w:val="00095805"/>
    <w:rsid w:val="0009581B"/>
    <w:rsid w:val="00095A94"/>
    <w:rsid w:val="00096247"/>
    <w:rsid w:val="000962CF"/>
    <w:rsid w:val="000967F3"/>
    <w:rsid w:val="00097491"/>
    <w:rsid w:val="00097E7F"/>
    <w:rsid w:val="000A000A"/>
    <w:rsid w:val="000A003B"/>
    <w:rsid w:val="000A00DB"/>
    <w:rsid w:val="000A02CD"/>
    <w:rsid w:val="000A06CD"/>
    <w:rsid w:val="000A06F8"/>
    <w:rsid w:val="000A0917"/>
    <w:rsid w:val="000A0E72"/>
    <w:rsid w:val="000A1296"/>
    <w:rsid w:val="000A1377"/>
    <w:rsid w:val="000A140F"/>
    <w:rsid w:val="000A1E72"/>
    <w:rsid w:val="000A243C"/>
    <w:rsid w:val="000A2554"/>
    <w:rsid w:val="000A2DB1"/>
    <w:rsid w:val="000A2F6D"/>
    <w:rsid w:val="000A34B7"/>
    <w:rsid w:val="000A39F5"/>
    <w:rsid w:val="000A3A54"/>
    <w:rsid w:val="000A3A57"/>
    <w:rsid w:val="000A3EC0"/>
    <w:rsid w:val="000A41DB"/>
    <w:rsid w:val="000A48AB"/>
    <w:rsid w:val="000A490A"/>
    <w:rsid w:val="000A52AE"/>
    <w:rsid w:val="000A583E"/>
    <w:rsid w:val="000A60F8"/>
    <w:rsid w:val="000A6459"/>
    <w:rsid w:val="000A64E5"/>
    <w:rsid w:val="000A6ADC"/>
    <w:rsid w:val="000A72D9"/>
    <w:rsid w:val="000B0762"/>
    <w:rsid w:val="000B171F"/>
    <w:rsid w:val="000B2000"/>
    <w:rsid w:val="000B2132"/>
    <w:rsid w:val="000B21CB"/>
    <w:rsid w:val="000B22BF"/>
    <w:rsid w:val="000B25A4"/>
    <w:rsid w:val="000B37ED"/>
    <w:rsid w:val="000B4E8A"/>
    <w:rsid w:val="000B5B8E"/>
    <w:rsid w:val="000B5C85"/>
    <w:rsid w:val="000B609A"/>
    <w:rsid w:val="000B60BF"/>
    <w:rsid w:val="000B6112"/>
    <w:rsid w:val="000B6816"/>
    <w:rsid w:val="000B748E"/>
    <w:rsid w:val="000B7692"/>
    <w:rsid w:val="000B7B08"/>
    <w:rsid w:val="000C02DE"/>
    <w:rsid w:val="000C0320"/>
    <w:rsid w:val="000C0576"/>
    <w:rsid w:val="000C082E"/>
    <w:rsid w:val="000C0D42"/>
    <w:rsid w:val="000C10C3"/>
    <w:rsid w:val="000C1F76"/>
    <w:rsid w:val="000C2172"/>
    <w:rsid w:val="000C2621"/>
    <w:rsid w:val="000C270D"/>
    <w:rsid w:val="000C3946"/>
    <w:rsid w:val="000C3AED"/>
    <w:rsid w:val="000C4BCC"/>
    <w:rsid w:val="000C4FA4"/>
    <w:rsid w:val="000C50EF"/>
    <w:rsid w:val="000C5364"/>
    <w:rsid w:val="000C53E2"/>
    <w:rsid w:val="000C573C"/>
    <w:rsid w:val="000C5BF3"/>
    <w:rsid w:val="000C5D12"/>
    <w:rsid w:val="000C5DBB"/>
    <w:rsid w:val="000C5F12"/>
    <w:rsid w:val="000C627E"/>
    <w:rsid w:val="000C672D"/>
    <w:rsid w:val="000C7545"/>
    <w:rsid w:val="000C7B9E"/>
    <w:rsid w:val="000C7CA8"/>
    <w:rsid w:val="000D0308"/>
    <w:rsid w:val="000D0C00"/>
    <w:rsid w:val="000D0E37"/>
    <w:rsid w:val="000D18DC"/>
    <w:rsid w:val="000D2304"/>
    <w:rsid w:val="000D3227"/>
    <w:rsid w:val="000D379F"/>
    <w:rsid w:val="000D3B7E"/>
    <w:rsid w:val="000D473C"/>
    <w:rsid w:val="000D4A04"/>
    <w:rsid w:val="000D5070"/>
    <w:rsid w:val="000D54CE"/>
    <w:rsid w:val="000D5AD2"/>
    <w:rsid w:val="000D5AD7"/>
    <w:rsid w:val="000D5E1A"/>
    <w:rsid w:val="000D679C"/>
    <w:rsid w:val="000D7372"/>
    <w:rsid w:val="000D7D25"/>
    <w:rsid w:val="000E0473"/>
    <w:rsid w:val="000E05EF"/>
    <w:rsid w:val="000E0767"/>
    <w:rsid w:val="000E0D0F"/>
    <w:rsid w:val="000E108B"/>
    <w:rsid w:val="000E1F1B"/>
    <w:rsid w:val="000E26C1"/>
    <w:rsid w:val="000E26FB"/>
    <w:rsid w:val="000E2E61"/>
    <w:rsid w:val="000E3CAA"/>
    <w:rsid w:val="000E42FF"/>
    <w:rsid w:val="000E4DAE"/>
    <w:rsid w:val="000E64C6"/>
    <w:rsid w:val="000E6982"/>
    <w:rsid w:val="000E6A0E"/>
    <w:rsid w:val="000E7560"/>
    <w:rsid w:val="000E7ABB"/>
    <w:rsid w:val="000F002C"/>
    <w:rsid w:val="000F030E"/>
    <w:rsid w:val="000F03E0"/>
    <w:rsid w:val="000F0953"/>
    <w:rsid w:val="000F0E05"/>
    <w:rsid w:val="000F1043"/>
    <w:rsid w:val="000F1194"/>
    <w:rsid w:val="000F18CA"/>
    <w:rsid w:val="000F1DFD"/>
    <w:rsid w:val="000F2464"/>
    <w:rsid w:val="000F2D4D"/>
    <w:rsid w:val="000F306A"/>
    <w:rsid w:val="000F49D1"/>
    <w:rsid w:val="000F509D"/>
    <w:rsid w:val="000F621F"/>
    <w:rsid w:val="000F6D84"/>
    <w:rsid w:val="000F6E62"/>
    <w:rsid w:val="000F7162"/>
    <w:rsid w:val="000F7F87"/>
    <w:rsid w:val="0010045C"/>
    <w:rsid w:val="001011D8"/>
    <w:rsid w:val="001016FC"/>
    <w:rsid w:val="00101933"/>
    <w:rsid w:val="00101CFB"/>
    <w:rsid w:val="00102029"/>
    <w:rsid w:val="0010231B"/>
    <w:rsid w:val="0010276F"/>
    <w:rsid w:val="001029A4"/>
    <w:rsid w:val="00103CF8"/>
    <w:rsid w:val="00103EC5"/>
    <w:rsid w:val="00103F07"/>
    <w:rsid w:val="00104D0E"/>
    <w:rsid w:val="0010577C"/>
    <w:rsid w:val="00105D24"/>
    <w:rsid w:val="001061A0"/>
    <w:rsid w:val="0010720D"/>
    <w:rsid w:val="00107923"/>
    <w:rsid w:val="00107BA6"/>
    <w:rsid w:val="00107EC6"/>
    <w:rsid w:val="00107FB6"/>
    <w:rsid w:val="001102BC"/>
    <w:rsid w:val="0011036E"/>
    <w:rsid w:val="001105B7"/>
    <w:rsid w:val="00110980"/>
    <w:rsid w:val="00110D29"/>
    <w:rsid w:val="00110EC6"/>
    <w:rsid w:val="0011111D"/>
    <w:rsid w:val="0011126C"/>
    <w:rsid w:val="00111465"/>
    <w:rsid w:val="00111D38"/>
    <w:rsid w:val="00112C28"/>
    <w:rsid w:val="001138AB"/>
    <w:rsid w:val="001138DF"/>
    <w:rsid w:val="00113DBB"/>
    <w:rsid w:val="00114804"/>
    <w:rsid w:val="00115501"/>
    <w:rsid w:val="00115938"/>
    <w:rsid w:val="00115C15"/>
    <w:rsid w:val="001162BA"/>
    <w:rsid w:val="00116B95"/>
    <w:rsid w:val="00117633"/>
    <w:rsid w:val="00117950"/>
    <w:rsid w:val="00120C7B"/>
    <w:rsid w:val="00120E1F"/>
    <w:rsid w:val="001211EA"/>
    <w:rsid w:val="00121599"/>
    <w:rsid w:val="001220D7"/>
    <w:rsid w:val="0012237B"/>
    <w:rsid w:val="00122398"/>
    <w:rsid w:val="00122539"/>
    <w:rsid w:val="00122704"/>
    <w:rsid w:val="00122A42"/>
    <w:rsid w:val="00123012"/>
    <w:rsid w:val="00123602"/>
    <w:rsid w:val="00123B52"/>
    <w:rsid w:val="00123EF6"/>
    <w:rsid w:val="00123FDF"/>
    <w:rsid w:val="001246BE"/>
    <w:rsid w:val="00125B52"/>
    <w:rsid w:val="00125D71"/>
    <w:rsid w:val="00127A7E"/>
    <w:rsid w:val="00127AEB"/>
    <w:rsid w:val="00127C00"/>
    <w:rsid w:val="00130451"/>
    <w:rsid w:val="001306E0"/>
    <w:rsid w:val="00130711"/>
    <w:rsid w:val="00130E9B"/>
    <w:rsid w:val="001312CC"/>
    <w:rsid w:val="0013153D"/>
    <w:rsid w:val="00131B1D"/>
    <w:rsid w:val="001326C3"/>
    <w:rsid w:val="00132E4F"/>
    <w:rsid w:val="00133069"/>
    <w:rsid w:val="00133599"/>
    <w:rsid w:val="00134CF7"/>
    <w:rsid w:val="00134CF9"/>
    <w:rsid w:val="00135155"/>
    <w:rsid w:val="0013589B"/>
    <w:rsid w:val="00135B28"/>
    <w:rsid w:val="0013634A"/>
    <w:rsid w:val="0013693C"/>
    <w:rsid w:val="00136A74"/>
    <w:rsid w:val="00136B2F"/>
    <w:rsid w:val="00136F64"/>
    <w:rsid w:val="00137454"/>
    <w:rsid w:val="001378E6"/>
    <w:rsid w:val="00137971"/>
    <w:rsid w:val="00137B5C"/>
    <w:rsid w:val="0014000B"/>
    <w:rsid w:val="0014105D"/>
    <w:rsid w:val="0014171F"/>
    <w:rsid w:val="001423AE"/>
    <w:rsid w:val="00142CF7"/>
    <w:rsid w:val="001436FD"/>
    <w:rsid w:val="00143839"/>
    <w:rsid w:val="00143985"/>
    <w:rsid w:val="00143C4A"/>
    <w:rsid w:val="00143D1D"/>
    <w:rsid w:val="00144693"/>
    <w:rsid w:val="00144D2D"/>
    <w:rsid w:val="00145086"/>
    <w:rsid w:val="00145277"/>
    <w:rsid w:val="00145EDB"/>
    <w:rsid w:val="001501A3"/>
    <w:rsid w:val="001503D5"/>
    <w:rsid w:val="00150547"/>
    <w:rsid w:val="00150AE5"/>
    <w:rsid w:val="001518F1"/>
    <w:rsid w:val="00152AEC"/>
    <w:rsid w:val="00152CED"/>
    <w:rsid w:val="00152E8E"/>
    <w:rsid w:val="001543D1"/>
    <w:rsid w:val="00154669"/>
    <w:rsid w:val="00154E2B"/>
    <w:rsid w:val="00154E4A"/>
    <w:rsid w:val="0015601D"/>
    <w:rsid w:val="00156C68"/>
    <w:rsid w:val="00156ED2"/>
    <w:rsid w:val="0015710D"/>
    <w:rsid w:val="0015750D"/>
    <w:rsid w:val="00157C46"/>
    <w:rsid w:val="0016005E"/>
    <w:rsid w:val="001604C4"/>
    <w:rsid w:val="0016092B"/>
    <w:rsid w:val="0016094D"/>
    <w:rsid w:val="00160CDF"/>
    <w:rsid w:val="00161FF7"/>
    <w:rsid w:val="00162DCF"/>
    <w:rsid w:val="0016383C"/>
    <w:rsid w:val="00164132"/>
    <w:rsid w:val="00164CF7"/>
    <w:rsid w:val="00165026"/>
    <w:rsid w:val="0016563B"/>
    <w:rsid w:val="00165771"/>
    <w:rsid w:val="00165B83"/>
    <w:rsid w:val="00165D51"/>
    <w:rsid w:val="0016601E"/>
    <w:rsid w:val="00166D28"/>
    <w:rsid w:val="001670C7"/>
    <w:rsid w:val="0016738A"/>
    <w:rsid w:val="001674FB"/>
    <w:rsid w:val="00167EED"/>
    <w:rsid w:val="001701C4"/>
    <w:rsid w:val="001701E7"/>
    <w:rsid w:val="001704BA"/>
    <w:rsid w:val="00170824"/>
    <w:rsid w:val="0017104A"/>
    <w:rsid w:val="001711A1"/>
    <w:rsid w:val="00171711"/>
    <w:rsid w:val="00171780"/>
    <w:rsid w:val="00171809"/>
    <w:rsid w:val="0017203D"/>
    <w:rsid w:val="00172FCF"/>
    <w:rsid w:val="00172FF5"/>
    <w:rsid w:val="00174E10"/>
    <w:rsid w:val="001764EF"/>
    <w:rsid w:val="001768AA"/>
    <w:rsid w:val="001800A3"/>
    <w:rsid w:val="00180365"/>
    <w:rsid w:val="00180E79"/>
    <w:rsid w:val="001815D2"/>
    <w:rsid w:val="00181C1B"/>
    <w:rsid w:val="0018261E"/>
    <w:rsid w:val="00182662"/>
    <w:rsid w:val="00182717"/>
    <w:rsid w:val="00183589"/>
    <w:rsid w:val="00183C59"/>
    <w:rsid w:val="0018409A"/>
    <w:rsid w:val="00184B5D"/>
    <w:rsid w:val="00184DC6"/>
    <w:rsid w:val="00185156"/>
    <w:rsid w:val="00185373"/>
    <w:rsid w:val="00185CBB"/>
    <w:rsid w:val="001861AD"/>
    <w:rsid w:val="00186421"/>
    <w:rsid w:val="00186A58"/>
    <w:rsid w:val="00187348"/>
    <w:rsid w:val="0019067E"/>
    <w:rsid w:val="00190AA3"/>
    <w:rsid w:val="00190B47"/>
    <w:rsid w:val="00190F52"/>
    <w:rsid w:val="0019286A"/>
    <w:rsid w:val="0019295B"/>
    <w:rsid w:val="0019352C"/>
    <w:rsid w:val="0019391F"/>
    <w:rsid w:val="0019476C"/>
    <w:rsid w:val="00194B96"/>
    <w:rsid w:val="0019539B"/>
    <w:rsid w:val="001954FF"/>
    <w:rsid w:val="00195914"/>
    <w:rsid w:val="00195BFE"/>
    <w:rsid w:val="00195F1C"/>
    <w:rsid w:val="00196434"/>
    <w:rsid w:val="0019692F"/>
    <w:rsid w:val="001969E7"/>
    <w:rsid w:val="00196F4D"/>
    <w:rsid w:val="00196FA7"/>
    <w:rsid w:val="00197197"/>
    <w:rsid w:val="00197420"/>
    <w:rsid w:val="0019780C"/>
    <w:rsid w:val="00197D00"/>
    <w:rsid w:val="001A04A8"/>
    <w:rsid w:val="001A06F2"/>
    <w:rsid w:val="001A0767"/>
    <w:rsid w:val="001A2574"/>
    <w:rsid w:val="001A353A"/>
    <w:rsid w:val="001A381B"/>
    <w:rsid w:val="001A3AD6"/>
    <w:rsid w:val="001A3EF8"/>
    <w:rsid w:val="001A4815"/>
    <w:rsid w:val="001A5E57"/>
    <w:rsid w:val="001A77F5"/>
    <w:rsid w:val="001A7B1C"/>
    <w:rsid w:val="001B0A10"/>
    <w:rsid w:val="001B0B3C"/>
    <w:rsid w:val="001B14F7"/>
    <w:rsid w:val="001B1A9B"/>
    <w:rsid w:val="001B1C90"/>
    <w:rsid w:val="001B244B"/>
    <w:rsid w:val="001B2566"/>
    <w:rsid w:val="001B34EC"/>
    <w:rsid w:val="001B354A"/>
    <w:rsid w:val="001B3C15"/>
    <w:rsid w:val="001B3D9E"/>
    <w:rsid w:val="001B3F6A"/>
    <w:rsid w:val="001B4AE6"/>
    <w:rsid w:val="001B4D56"/>
    <w:rsid w:val="001B5234"/>
    <w:rsid w:val="001B5808"/>
    <w:rsid w:val="001B5B2D"/>
    <w:rsid w:val="001B5D47"/>
    <w:rsid w:val="001B6071"/>
    <w:rsid w:val="001B6B16"/>
    <w:rsid w:val="001B6FFC"/>
    <w:rsid w:val="001B7208"/>
    <w:rsid w:val="001B750F"/>
    <w:rsid w:val="001B7A6C"/>
    <w:rsid w:val="001C0626"/>
    <w:rsid w:val="001C0664"/>
    <w:rsid w:val="001C1322"/>
    <w:rsid w:val="001C1397"/>
    <w:rsid w:val="001C1D3E"/>
    <w:rsid w:val="001C1F20"/>
    <w:rsid w:val="001C1F37"/>
    <w:rsid w:val="001C226D"/>
    <w:rsid w:val="001C24AA"/>
    <w:rsid w:val="001C5272"/>
    <w:rsid w:val="001C59E1"/>
    <w:rsid w:val="001C6481"/>
    <w:rsid w:val="001C682D"/>
    <w:rsid w:val="001C6F93"/>
    <w:rsid w:val="001C7726"/>
    <w:rsid w:val="001C7D6B"/>
    <w:rsid w:val="001D0114"/>
    <w:rsid w:val="001D0376"/>
    <w:rsid w:val="001D0380"/>
    <w:rsid w:val="001D03AA"/>
    <w:rsid w:val="001D05FF"/>
    <w:rsid w:val="001D0ABD"/>
    <w:rsid w:val="001D0B30"/>
    <w:rsid w:val="001D0BA7"/>
    <w:rsid w:val="001D11C9"/>
    <w:rsid w:val="001D1511"/>
    <w:rsid w:val="001D1A49"/>
    <w:rsid w:val="001D2A6B"/>
    <w:rsid w:val="001D2CCD"/>
    <w:rsid w:val="001D2FFB"/>
    <w:rsid w:val="001D3146"/>
    <w:rsid w:val="001D48FC"/>
    <w:rsid w:val="001D490D"/>
    <w:rsid w:val="001D4939"/>
    <w:rsid w:val="001D4D8C"/>
    <w:rsid w:val="001D58AA"/>
    <w:rsid w:val="001D5D7F"/>
    <w:rsid w:val="001D5DF5"/>
    <w:rsid w:val="001D5E6A"/>
    <w:rsid w:val="001D64CE"/>
    <w:rsid w:val="001D7242"/>
    <w:rsid w:val="001D7442"/>
    <w:rsid w:val="001D7764"/>
    <w:rsid w:val="001D78D5"/>
    <w:rsid w:val="001D7A84"/>
    <w:rsid w:val="001E0F51"/>
    <w:rsid w:val="001E156B"/>
    <w:rsid w:val="001E1BD4"/>
    <w:rsid w:val="001E2055"/>
    <w:rsid w:val="001E2349"/>
    <w:rsid w:val="001E2490"/>
    <w:rsid w:val="001E25DA"/>
    <w:rsid w:val="001E36A6"/>
    <w:rsid w:val="001E3E1E"/>
    <w:rsid w:val="001E4323"/>
    <w:rsid w:val="001E4986"/>
    <w:rsid w:val="001E4AC8"/>
    <w:rsid w:val="001E4ACB"/>
    <w:rsid w:val="001E4B8B"/>
    <w:rsid w:val="001E4EA6"/>
    <w:rsid w:val="001E4EF3"/>
    <w:rsid w:val="001E4F50"/>
    <w:rsid w:val="001E6040"/>
    <w:rsid w:val="001E63AF"/>
    <w:rsid w:val="001E65F1"/>
    <w:rsid w:val="001E6C81"/>
    <w:rsid w:val="001E6E6D"/>
    <w:rsid w:val="001E7617"/>
    <w:rsid w:val="001F019C"/>
    <w:rsid w:val="001F037E"/>
    <w:rsid w:val="001F05DF"/>
    <w:rsid w:val="001F0E1C"/>
    <w:rsid w:val="001F1213"/>
    <w:rsid w:val="001F1AB6"/>
    <w:rsid w:val="001F1D42"/>
    <w:rsid w:val="001F26D0"/>
    <w:rsid w:val="001F28AC"/>
    <w:rsid w:val="001F31F6"/>
    <w:rsid w:val="001F3233"/>
    <w:rsid w:val="001F3757"/>
    <w:rsid w:val="001F37AB"/>
    <w:rsid w:val="001F3D4F"/>
    <w:rsid w:val="001F3FA4"/>
    <w:rsid w:val="001F41D9"/>
    <w:rsid w:val="001F47C8"/>
    <w:rsid w:val="001F480C"/>
    <w:rsid w:val="001F4DB9"/>
    <w:rsid w:val="001F59E5"/>
    <w:rsid w:val="001F5CAE"/>
    <w:rsid w:val="001F607F"/>
    <w:rsid w:val="001F667F"/>
    <w:rsid w:val="001F68BD"/>
    <w:rsid w:val="001F6C19"/>
    <w:rsid w:val="001F6CD2"/>
    <w:rsid w:val="001F6FFF"/>
    <w:rsid w:val="001F7041"/>
    <w:rsid w:val="001F7592"/>
    <w:rsid w:val="002003CC"/>
    <w:rsid w:val="0020112F"/>
    <w:rsid w:val="00201DBA"/>
    <w:rsid w:val="0020212B"/>
    <w:rsid w:val="002024E6"/>
    <w:rsid w:val="00203188"/>
    <w:rsid w:val="00203567"/>
    <w:rsid w:val="002039C7"/>
    <w:rsid w:val="00205445"/>
    <w:rsid w:val="0020576F"/>
    <w:rsid w:val="00205FDE"/>
    <w:rsid w:val="0020689D"/>
    <w:rsid w:val="002100BF"/>
    <w:rsid w:val="00210AD9"/>
    <w:rsid w:val="00210DCE"/>
    <w:rsid w:val="002112FC"/>
    <w:rsid w:val="00211381"/>
    <w:rsid w:val="00211A81"/>
    <w:rsid w:val="0021257D"/>
    <w:rsid w:val="00212581"/>
    <w:rsid w:val="00212B5D"/>
    <w:rsid w:val="0021442E"/>
    <w:rsid w:val="002147FC"/>
    <w:rsid w:val="00215096"/>
    <w:rsid w:val="002156BF"/>
    <w:rsid w:val="00215DF4"/>
    <w:rsid w:val="0021654B"/>
    <w:rsid w:val="002167A2"/>
    <w:rsid w:val="00216C05"/>
    <w:rsid w:val="00216E5C"/>
    <w:rsid w:val="00217037"/>
    <w:rsid w:val="002206B8"/>
    <w:rsid w:val="002207A0"/>
    <w:rsid w:val="002207ED"/>
    <w:rsid w:val="00220F2F"/>
    <w:rsid w:val="00220F98"/>
    <w:rsid w:val="002215CC"/>
    <w:rsid w:val="00222662"/>
    <w:rsid w:val="00222DDA"/>
    <w:rsid w:val="00222EBA"/>
    <w:rsid w:val="00222F1B"/>
    <w:rsid w:val="00222F20"/>
    <w:rsid w:val="0022355D"/>
    <w:rsid w:val="00223994"/>
    <w:rsid w:val="00223E65"/>
    <w:rsid w:val="00224414"/>
    <w:rsid w:val="00224781"/>
    <w:rsid w:val="00224810"/>
    <w:rsid w:val="00224B21"/>
    <w:rsid w:val="00224EE5"/>
    <w:rsid w:val="00225B4B"/>
    <w:rsid w:val="00225E41"/>
    <w:rsid w:val="00225F62"/>
    <w:rsid w:val="002262C1"/>
    <w:rsid w:val="00226373"/>
    <w:rsid w:val="00227177"/>
    <w:rsid w:val="002273E4"/>
    <w:rsid w:val="002301E8"/>
    <w:rsid w:val="002302B2"/>
    <w:rsid w:val="002306AB"/>
    <w:rsid w:val="00231309"/>
    <w:rsid w:val="0023137B"/>
    <w:rsid w:val="00231C69"/>
    <w:rsid w:val="0023260C"/>
    <w:rsid w:val="00232B4B"/>
    <w:rsid w:val="00232C99"/>
    <w:rsid w:val="00234DDA"/>
    <w:rsid w:val="00235632"/>
    <w:rsid w:val="002359C3"/>
    <w:rsid w:val="00235CFA"/>
    <w:rsid w:val="002363B0"/>
    <w:rsid w:val="00236610"/>
    <w:rsid w:val="002372AE"/>
    <w:rsid w:val="00237553"/>
    <w:rsid w:val="0024067E"/>
    <w:rsid w:val="0024179F"/>
    <w:rsid w:val="00241C59"/>
    <w:rsid w:val="002420D6"/>
    <w:rsid w:val="0024227B"/>
    <w:rsid w:val="0024298B"/>
    <w:rsid w:val="00242C27"/>
    <w:rsid w:val="00242D9E"/>
    <w:rsid w:val="00242E8B"/>
    <w:rsid w:val="00243714"/>
    <w:rsid w:val="002441B3"/>
    <w:rsid w:val="002444F8"/>
    <w:rsid w:val="0024491D"/>
    <w:rsid w:val="00244944"/>
    <w:rsid w:val="00244D84"/>
    <w:rsid w:val="00245BC8"/>
    <w:rsid w:val="00245F7F"/>
    <w:rsid w:val="00246212"/>
    <w:rsid w:val="00246392"/>
    <w:rsid w:val="00247285"/>
    <w:rsid w:val="00247896"/>
    <w:rsid w:val="0024794E"/>
    <w:rsid w:val="00250CEA"/>
    <w:rsid w:val="0025120D"/>
    <w:rsid w:val="002514F5"/>
    <w:rsid w:val="0025152D"/>
    <w:rsid w:val="00251E20"/>
    <w:rsid w:val="00252094"/>
    <w:rsid w:val="00252240"/>
    <w:rsid w:val="002522ED"/>
    <w:rsid w:val="00252AD4"/>
    <w:rsid w:val="00252E2B"/>
    <w:rsid w:val="00252E89"/>
    <w:rsid w:val="00253557"/>
    <w:rsid w:val="00253F75"/>
    <w:rsid w:val="002543D6"/>
    <w:rsid w:val="00254824"/>
    <w:rsid w:val="00254FD5"/>
    <w:rsid w:val="00255003"/>
    <w:rsid w:val="002557B9"/>
    <w:rsid w:val="002559C2"/>
    <w:rsid w:val="00255B3E"/>
    <w:rsid w:val="00255CCF"/>
    <w:rsid w:val="00255FA6"/>
    <w:rsid w:val="00256342"/>
    <w:rsid w:val="00256D10"/>
    <w:rsid w:val="00256D1A"/>
    <w:rsid w:val="00257440"/>
    <w:rsid w:val="002574BD"/>
    <w:rsid w:val="002577A2"/>
    <w:rsid w:val="00257B08"/>
    <w:rsid w:val="00257D19"/>
    <w:rsid w:val="00260376"/>
    <w:rsid w:val="00260A46"/>
    <w:rsid w:val="002612E5"/>
    <w:rsid w:val="00261565"/>
    <w:rsid w:val="00262038"/>
    <w:rsid w:val="002629EF"/>
    <w:rsid w:val="00262A7A"/>
    <w:rsid w:val="00263328"/>
    <w:rsid w:val="0026377B"/>
    <w:rsid w:val="00263DBF"/>
    <w:rsid w:val="00263F60"/>
    <w:rsid w:val="0026404E"/>
    <w:rsid w:val="00265590"/>
    <w:rsid w:val="0026575A"/>
    <w:rsid w:val="00265A3C"/>
    <w:rsid w:val="0026637F"/>
    <w:rsid w:val="002666C9"/>
    <w:rsid w:val="00266B03"/>
    <w:rsid w:val="00266D11"/>
    <w:rsid w:val="0026736E"/>
    <w:rsid w:val="002673C6"/>
    <w:rsid w:val="0026747E"/>
    <w:rsid w:val="00267A97"/>
    <w:rsid w:val="00267DB5"/>
    <w:rsid w:val="002706F0"/>
    <w:rsid w:val="00270BAD"/>
    <w:rsid w:val="00271A80"/>
    <w:rsid w:val="00271E52"/>
    <w:rsid w:val="00272AAC"/>
    <w:rsid w:val="002730F6"/>
    <w:rsid w:val="00273353"/>
    <w:rsid w:val="00273825"/>
    <w:rsid w:val="002740CC"/>
    <w:rsid w:val="00274420"/>
    <w:rsid w:val="002746C6"/>
    <w:rsid w:val="0027484A"/>
    <w:rsid w:val="002749A4"/>
    <w:rsid w:val="00274E07"/>
    <w:rsid w:val="00275383"/>
    <w:rsid w:val="0027582E"/>
    <w:rsid w:val="00275D03"/>
    <w:rsid w:val="00275D47"/>
    <w:rsid w:val="00275F06"/>
    <w:rsid w:val="00276D3B"/>
    <w:rsid w:val="00277332"/>
    <w:rsid w:val="002778E0"/>
    <w:rsid w:val="00277C93"/>
    <w:rsid w:val="00277EBA"/>
    <w:rsid w:val="002805C5"/>
    <w:rsid w:val="00280911"/>
    <w:rsid w:val="00280E63"/>
    <w:rsid w:val="00280EF3"/>
    <w:rsid w:val="0028160B"/>
    <w:rsid w:val="002818A7"/>
    <w:rsid w:val="002818ED"/>
    <w:rsid w:val="002819BC"/>
    <w:rsid w:val="00281F80"/>
    <w:rsid w:val="0028229F"/>
    <w:rsid w:val="00283D04"/>
    <w:rsid w:val="00283DEB"/>
    <w:rsid w:val="00284CFC"/>
    <w:rsid w:val="00285503"/>
    <w:rsid w:val="0028565E"/>
    <w:rsid w:val="00285DDC"/>
    <w:rsid w:val="002862ED"/>
    <w:rsid w:val="002868A7"/>
    <w:rsid w:val="002876DE"/>
    <w:rsid w:val="00287BD1"/>
    <w:rsid w:val="00287C55"/>
    <w:rsid w:val="00290839"/>
    <w:rsid w:val="00292239"/>
    <w:rsid w:val="002923F7"/>
    <w:rsid w:val="00292817"/>
    <w:rsid w:val="002940E3"/>
    <w:rsid w:val="002945C8"/>
    <w:rsid w:val="00294A66"/>
    <w:rsid w:val="00295403"/>
    <w:rsid w:val="00295B4B"/>
    <w:rsid w:val="00295D20"/>
    <w:rsid w:val="0029639A"/>
    <w:rsid w:val="00296589"/>
    <w:rsid w:val="0029798F"/>
    <w:rsid w:val="002A053C"/>
    <w:rsid w:val="002A0C2F"/>
    <w:rsid w:val="002A1546"/>
    <w:rsid w:val="002A2174"/>
    <w:rsid w:val="002A24FE"/>
    <w:rsid w:val="002A33C2"/>
    <w:rsid w:val="002A34B7"/>
    <w:rsid w:val="002A3689"/>
    <w:rsid w:val="002A3BFE"/>
    <w:rsid w:val="002A3F66"/>
    <w:rsid w:val="002A4245"/>
    <w:rsid w:val="002A4412"/>
    <w:rsid w:val="002A45DB"/>
    <w:rsid w:val="002A5101"/>
    <w:rsid w:val="002A5DDC"/>
    <w:rsid w:val="002A64B8"/>
    <w:rsid w:val="002A6657"/>
    <w:rsid w:val="002A6ADD"/>
    <w:rsid w:val="002A6F78"/>
    <w:rsid w:val="002A7B05"/>
    <w:rsid w:val="002A7B61"/>
    <w:rsid w:val="002A7E58"/>
    <w:rsid w:val="002B05DC"/>
    <w:rsid w:val="002B13C4"/>
    <w:rsid w:val="002B1A1B"/>
    <w:rsid w:val="002B1F8C"/>
    <w:rsid w:val="002B233D"/>
    <w:rsid w:val="002B241E"/>
    <w:rsid w:val="002B2774"/>
    <w:rsid w:val="002B330A"/>
    <w:rsid w:val="002B3FA3"/>
    <w:rsid w:val="002B42B7"/>
    <w:rsid w:val="002B4450"/>
    <w:rsid w:val="002B45C3"/>
    <w:rsid w:val="002B46BB"/>
    <w:rsid w:val="002B46E1"/>
    <w:rsid w:val="002B5919"/>
    <w:rsid w:val="002B5B12"/>
    <w:rsid w:val="002B5CC3"/>
    <w:rsid w:val="002B6F76"/>
    <w:rsid w:val="002B7136"/>
    <w:rsid w:val="002B717E"/>
    <w:rsid w:val="002B77D8"/>
    <w:rsid w:val="002B799D"/>
    <w:rsid w:val="002C00EF"/>
    <w:rsid w:val="002C02DB"/>
    <w:rsid w:val="002C070F"/>
    <w:rsid w:val="002C0D74"/>
    <w:rsid w:val="002C0FC9"/>
    <w:rsid w:val="002C1033"/>
    <w:rsid w:val="002C10BC"/>
    <w:rsid w:val="002C127A"/>
    <w:rsid w:val="002C142E"/>
    <w:rsid w:val="002C2248"/>
    <w:rsid w:val="002C35F0"/>
    <w:rsid w:val="002C3907"/>
    <w:rsid w:val="002C3B43"/>
    <w:rsid w:val="002C4701"/>
    <w:rsid w:val="002C4C21"/>
    <w:rsid w:val="002C4E42"/>
    <w:rsid w:val="002C50E8"/>
    <w:rsid w:val="002C55CB"/>
    <w:rsid w:val="002C5E52"/>
    <w:rsid w:val="002C6701"/>
    <w:rsid w:val="002C6891"/>
    <w:rsid w:val="002C6B51"/>
    <w:rsid w:val="002C7F9D"/>
    <w:rsid w:val="002D015F"/>
    <w:rsid w:val="002D0174"/>
    <w:rsid w:val="002D0C30"/>
    <w:rsid w:val="002D19F9"/>
    <w:rsid w:val="002D1F92"/>
    <w:rsid w:val="002D21E2"/>
    <w:rsid w:val="002D2D30"/>
    <w:rsid w:val="002D325E"/>
    <w:rsid w:val="002D3381"/>
    <w:rsid w:val="002D46E2"/>
    <w:rsid w:val="002D48B7"/>
    <w:rsid w:val="002D5A9C"/>
    <w:rsid w:val="002D5BF8"/>
    <w:rsid w:val="002D60CE"/>
    <w:rsid w:val="002D65FE"/>
    <w:rsid w:val="002D67B6"/>
    <w:rsid w:val="002D715C"/>
    <w:rsid w:val="002D7B4E"/>
    <w:rsid w:val="002E06EB"/>
    <w:rsid w:val="002E0ECF"/>
    <w:rsid w:val="002E1141"/>
    <w:rsid w:val="002E21CB"/>
    <w:rsid w:val="002E2353"/>
    <w:rsid w:val="002E2688"/>
    <w:rsid w:val="002E2EE1"/>
    <w:rsid w:val="002E30ED"/>
    <w:rsid w:val="002E3A1C"/>
    <w:rsid w:val="002E43EF"/>
    <w:rsid w:val="002E4A20"/>
    <w:rsid w:val="002E4A90"/>
    <w:rsid w:val="002E5518"/>
    <w:rsid w:val="002E56A4"/>
    <w:rsid w:val="002E5AA3"/>
    <w:rsid w:val="002E5D00"/>
    <w:rsid w:val="002E6439"/>
    <w:rsid w:val="002E6544"/>
    <w:rsid w:val="002E718B"/>
    <w:rsid w:val="002E749A"/>
    <w:rsid w:val="002E7A32"/>
    <w:rsid w:val="002E7B11"/>
    <w:rsid w:val="002E7BA1"/>
    <w:rsid w:val="002E7C16"/>
    <w:rsid w:val="002E7EDC"/>
    <w:rsid w:val="002F0464"/>
    <w:rsid w:val="002F0AFA"/>
    <w:rsid w:val="002F0DBD"/>
    <w:rsid w:val="002F14F7"/>
    <w:rsid w:val="002F1CA0"/>
    <w:rsid w:val="002F27A3"/>
    <w:rsid w:val="002F2B4E"/>
    <w:rsid w:val="002F2FFA"/>
    <w:rsid w:val="002F355F"/>
    <w:rsid w:val="002F3EDF"/>
    <w:rsid w:val="002F4F53"/>
    <w:rsid w:val="002F555F"/>
    <w:rsid w:val="002F5690"/>
    <w:rsid w:val="002F5BDE"/>
    <w:rsid w:val="002F6487"/>
    <w:rsid w:val="002F6577"/>
    <w:rsid w:val="002F66D7"/>
    <w:rsid w:val="002F68F7"/>
    <w:rsid w:val="002F70E7"/>
    <w:rsid w:val="002F7311"/>
    <w:rsid w:val="002F76E2"/>
    <w:rsid w:val="002F7E10"/>
    <w:rsid w:val="002F7FBC"/>
    <w:rsid w:val="00300D68"/>
    <w:rsid w:val="00300F74"/>
    <w:rsid w:val="00301414"/>
    <w:rsid w:val="00301935"/>
    <w:rsid w:val="00301EED"/>
    <w:rsid w:val="00301F9B"/>
    <w:rsid w:val="00302601"/>
    <w:rsid w:val="00302E88"/>
    <w:rsid w:val="0030318C"/>
    <w:rsid w:val="003033F5"/>
    <w:rsid w:val="00303A35"/>
    <w:rsid w:val="00303B4E"/>
    <w:rsid w:val="00303F3E"/>
    <w:rsid w:val="00303FC9"/>
    <w:rsid w:val="00304032"/>
    <w:rsid w:val="00304FE2"/>
    <w:rsid w:val="003052C9"/>
    <w:rsid w:val="00305C91"/>
    <w:rsid w:val="0030685E"/>
    <w:rsid w:val="00306DCC"/>
    <w:rsid w:val="0030720C"/>
    <w:rsid w:val="00307FA8"/>
    <w:rsid w:val="0031089C"/>
    <w:rsid w:val="00310AA2"/>
    <w:rsid w:val="00310C31"/>
    <w:rsid w:val="00310FBB"/>
    <w:rsid w:val="00312055"/>
    <w:rsid w:val="00312461"/>
    <w:rsid w:val="00313226"/>
    <w:rsid w:val="00313EE8"/>
    <w:rsid w:val="00313F67"/>
    <w:rsid w:val="003141DC"/>
    <w:rsid w:val="003143CA"/>
    <w:rsid w:val="003148A9"/>
    <w:rsid w:val="00314DB0"/>
    <w:rsid w:val="00314E12"/>
    <w:rsid w:val="003151C4"/>
    <w:rsid w:val="00315BB5"/>
    <w:rsid w:val="00315D73"/>
    <w:rsid w:val="00315E4F"/>
    <w:rsid w:val="00316D56"/>
    <w:rsid w:val="00317830"/>
    <w:rsid w:val="003178A1"/>
    <w:rsid w:val="0031797D"/>
    <w:rsid w:val="00317E8C"/>
    <w:rsid w:val="00317ED4"/>
    <w:rsid w:val="00320032"/>
    <w:rsid w:val="00320671"/>
    <w:rsid w:val="0032100E"/>
    <w:rsid w:val="0032294B"/>
    <w:rsid w:val="00322E8B"/>
    <w:rsid w:val="00322FF3"/>
    <w:rsid w:val="00323A8C"/>
    <w:rsid w:val="00323C0B"/>
    <w:rsid w:val="00323DBC"/>
    <w:rsid w:val="003240D9"/>
    <w:rsid w:val="00324277"/>
    <w:rsid w:val="0032598F"/>
    <w:rsid w:val="003259A3"/>
    <w:rsid w:val="003264E6"/>
    <w:rsid w:val="00326D58"/>
    <w:rsid w:val="00326DA4"/>
    <w:rsid w:val="00326DB2"/>
    <w:rsid w:val="00327E78"/>
    <w:rsid w:val="0033077A"/>
    <w:rsid w:val="00331423"/>
    <w:rsid w:val="003314F5"/>
    <w:rsid w:val="00331678"/>
    <w:rsid w:val="003319C1"/>
    <w:rsid w:val="0033257A"/>
    <w:rsid w:val="0033291D"/>
    <w:rsid w:val="003329A1"/>
    <w:rsid w:val="00332E4F"/>
    <w:rsid w:val="00333F2A"/>
    <w:rsid w:val="003344BA"/>
    <w:rsid w:val="0033479C"/>
    <w:rsid w:val="003347FC"/>
    <w:rsid w:val="00335548"/>
    <w:rsid w:val="003357B2"/>
    <w:rsid w:val="00335B6D"/>
    <w:rsid w:val="0033692F"/>
    <w:rsid w:val="00336A59"/>
    <w:rsid w:val="003374B6"/>
    <w:rsid w:val="003376E0"/>
    <w:rsid w:val="00337DAF"/>
    <w:rsid w:val="003400F3"/>
    <w:rsid w:val="0034045F"/>
    <w:rsid w:val="0034119C"/>
    <w:rsid w:val="003411B5"/>
    <w:rsid w:val="003412A3"/>
    <w:rsid w:val="00341B4A"/>
    <w:rsid w:val="00341C10"/>
    <w:rsid w:val="003428D0"/>
    <w:rsid w:val="00342DBF"/>
    <w:rsid w:val="00342F85"/>
    <w:rsid w:val="00343182"/>
    <w:rsid w:val="00343573"/>
    <w:rsid w:val="00343AA1"/>
    <w:rsid w:val="00344CF1"/>
    <w:rsid w:val="00344E7B"/>
    <w:rsid w:val="00345594"/>
    <w:rsid w:val="00345DFF"/>
    <w:rsid w:val="00345E11"/>
    <w:rsid w:val="00345ED1"/>
    <w:rsid w:val="00346893"/>
    <w:rsid w:val="003471E5"/>
    <w:rsid w:val="00347735"/>
    <w:rsid w:val="003479E3"/>
    <w:rsid w:val="00352F1D"/>
    <w:rsid w:val="003534D9"/>
    <w:rsid w:val="00353600"/>
    <w:rsid w:val="00353704"/>
    <w:rsid w:val="00353938"/>
    <w:rsid w:val="00354ADD"/>
    <w:rsid w:val="00354C0A"/>
    <w:rsid w:val="00355D0C"/>
    <w:rsid w:val="00355DD8"/>
    <w:rsid w:val="00355DEB"/>
    <w:rsid w:val="00355E15"/>
    <w:rsid w:val="0035606D"/>
    <w:rsid w:val="003560E4"/>
    <w:rsid w:val="003562FE"/>
    <w:rsid w:val="003573C2"/>
    <w:rsid w:val="0036089D"/>
    <w:rsid w:val="00361042"/>
    <w:rsid w:val="003611CA"/>
    <w:rsid w:val="00361D91"/>
    <w:rsid w:val="0036233C"/>
    <w:rsid w:val="00362816"/>
    <w:rsid w:val="003628C3"/>
    <w:rsid w:val="00363B5D"/>
    <w:rsid w:val="00363C84"/>
    <w:rsid w:val="00363C9D"/>
    <w:rsid w:val="0036428E"/>
    <w:rsid w:val="00365FFF"/>
    <w:rsid w:val="0036622A"/>
    <w:rsid w:val="0036647D"/>
    <w:rsid w:val="003667B3"/>
    <w:rsid w:val="00367CED"/>
    <w:rsid w:val="00367D45"/>
    <w:rsid w:val="00367EBA"/>
    <w:rsid w:val="00367F68"/>
    <w:rsid w:val="00370258"/>
    <w:rsid w:val="00370B8A"/>
    <w:rsid w:val="003710C0"/>
    <w:rsid w:val="0037120C"/>
    <w:rsid w:val="003719DC"/>
    <w:rsid w:val="003724A5"/>
    <w:rsid w:val="00373163"/>
    <w:rsid w:val="00373721"/>
    <w:rsid w:val="00373AE3"/>
    <w:rsid w:val="00373B46"/>
    <w:rsid w:val="0037537E"/>
    <w:rsid w:val="00375A88"/>
    <w:rsid w:val="003761FC"/>
    <w:rsid w:val="00376350"/>
    <w:rsid w:val="0037652F"/>
    <w:rsid w:val="003769AA"/>
    <w:rsid w:val="00377C67"/>
    <w:rsid w:val="00380617"/>
    <w:rsid w:val="0038094D"/>
    <w:rsid w:val="0038098B"/>
    <w:rsid w:val="00380EDF"/>
    <w:rsid w:val="00381695"/>
    <w:rsid w:val="00381771"/>
    <w:rsid w:val="00381CA9"/>
    <w:rsid w:val="00383448"/>
    <w:rsid w:val="00383493"/>
    <w:rsid w:val="00383A94"/>
    <w:rsid w:val="00383BAD"/>
    <w:rsid w:val="00384553"/>
    <w:rsid w:val="0038482E"/>
    <w:rsid w:val="00384E6E"/>
    <w:rsid w:val="003860A9"/>
    <w:rsid w:val="003865D8"/>
    <w:rsid w:val="0038726A"/>
    <w:rsid w:val="003903C5"/>
    <w:rsid w:val="0039098D"/>
    <w:rsid w:val="003911E6"/>
    <w:rsid w:val="0039166D"/>
    <w:rsid w:val="00391AD3"/>
    <w:rsid w:val="00392919"/>
    <w:rsid w:val="00393353"/>
    <w:rsid w:val="003936FF"/>
    <w:rsid w:val="003938A7"/>
    <w:rsid w:val="00393D98"/>
    <w:rsid w:val="003944BC"/>
    <w:rsid w:val="00396C68"/>
    <w:rsid w:val="00396D37"/>
    <w:rsid w:val="00397E43"/>
    <w:rsid w:val="003A074A"/>
    <w:rsid w:val="003A08B6"/>
    <w:rsid w:val="003A08FF"/>
    <w:rsid w:val="003A099E"/>
    <w:rsid w:val="003A0B15"/>
    <w:rsid w:val="003A0C93"/>
    <w:rsid w:val="003A1327"/>
    <w:rsid w:val="003A1729"/>
    <w:rsid w:val="003A1AE5"/>
    <w:rsid w:val="003A1BBE"/>
    <w:rsid w:val="003A31C6"/>
    <w:rsid w:val="003A3858"/>
    <w:rsid w:val="003A3E21"/>
    <w:rsid w:val="003A4B03"/>
    <w:rsid w:val="003A4CF9"/>
    <w:rsid w:val="003A4D68"/>
    <w:rsid w:val="003A508C"/>
    <w:rsid w:val="003A571F"/>
    <w:rsid w:val="003A5AEF"/>
    <w:rsid w:val="003A636B"/>
    <w:rsid w:val="003A649A"/>
    <w:rsid w:val="003A6CAB"/>
    <w:rsid w:val="003A6E88"/>
    <w:rsid w:val="003A7307"/>
    <w:rsid w:val="003A7338"/>
    <w:rsid w:val="003A7914"/>
    <w:rsid w:val="003B0347"/>
    <w:rsid w:val="003B069C"/>
    <w:rsid w:val="003B0811"/>
    <w:rsid w:val="003B1080"/>
    <w:rsid w:val="003B2153"/>
    <w:rsid w:val="003B26D1"/>
    <w:rsid w:val="003B2C4D"/>
    <w:rsid w:val="003B2FA8"/>
    <w:rsid w:val="003B3340"/>
    <w:rsid w:val="003B34BB"/>
    <w:rsid w:val="003B46A4"/>
    <w:rsid w:val="003B4A5E"/>
    <w:rsid w:val="003B4DDB"/>
    <w:rsid w:val="003B4FF7"/>
    <w:rsid w:val="003B5508"/>
    <w:rsid w:val="003B5853"/>
    <w:rsid w:val="003B5E41"/>
    <w:rsid w:val="003B5EA1"/>
    <w:rsid w:val="003B625B"/>
    <w:rsid w:val="003B6847"/>
    <w:rsid w:val="003B7272"/>
    <w:rsid w:val="003B75B8"/>
    <w:rsid w:val="003B788C"/>
    <w:rsid w:val="003C00B4"/>
    <w:rsid w:val="003C01EF"/>
    <w:rsid w:val="003C0C0B"/>
    <w:rsid w:val="003C0ECE"/>
    <w:rsid w:val="003C1329"/>
    <w:rsid w:val="003C2218"/>
    <w:rsid w:val="003C2A1C"/>
    <w:rsid w:val="003C2AFE"/>
    <w:rsid w:val="003C2C0E"/>
    <w:rsid w:val="003C3248"/>
    <w:rsid w:val="003C3B9A"/>
    <w:rsid w:val="003C445A"/>
    <w:rsid w:val="003C46B0"/>
    <w:rsid w:val="003C4AE8"/>
    <w:rsid w:val="003C4C0D"/>
    <w:rsid w:val="003C4CB6"/>
    <w:rsid w:val="003C52AB"/>
    <w:rsid w:val="003C6253"/>
    <w:rsid w:val="003C67A5"/>
    <w:rsid w:val="003C6B1C"/>
    <w:rsid w:val="003C6EDF"/>
    <w:rsid w:val="003C76DE"/>
    <w:rsid w:val="003D0A7A"/>
    <w:rsid w:val="003D1673"/>
    <w:rsid w:val="003D19E0"/>
    <w:rsid w:val="003D230C"/>
    <w:rsid w:val="003D2979"/>
    <w:rsid w:val="003D2C8F"/>
    <w:rsid w:val="003D2CBA"/>
    <w:rsid w:val="003D3582"/>
    <w:rsid w:val="003D35E0"/>
    <w:rsid w:val="003D3601"/>
    <w:rsid w:val="003D3797"/>
    <w:rsid w:val="003D3B9B"/>
    <w:rsid w:val="003D4C89"/>
    <w:rsid w:val="003D5BB7"/>
    <w:rsid w:val="003D6049"/>
    <w:rsid w:val="003D680A"/>
    <w:rsid w:val="003D6C97"/>
    <w:rsid w:val="003D6F8D"/>
    <w:rsid w:val="003E03F5"/>
    <w:rsid w:val="003E0CD2"/>
    <w:rsid w:val="003E0D54"/>
    <w:rsid w:val="003E13A1"/>
    <w:rsid w:val="003E1B5B"/>
    <w:rsid w:val="003E2156"/>
    <w:rsid w:val="003E27F7"/>
    <w:rsid w:val="003E2D1D"/>
    <w:rsid w:val="003E2D5E"/>
    <w:rsid w:val="003E3823"/>
    <w:rsid w:val="003E39F6"/>
    <w:rsid w:val="003E4026"/>
    <w:rsid w:val="003E4710"/>
    <w:rsid w:val="003E473B"/>
    <w:rsid w:val="003E4BEF"/>
    <w:rsid w:val="003E4CF8"/>
    <w:rsid w:val="003E4F9E"/>
    <w:rsid w:val="003E54F6"/>
    <w:rsid w:val="003E5CAA"/>
    <w:rsid w:val="003E635D"/>
    <w:rsid w:val="003E6375"/>
    <w:rsid w:val="003E699A"/>
    <w:rsid w:val="003E7685"/>
    <w:rsid w:val="003E7923"/>
    <w:rsid w:val="003E7DD6"/>
    <w:rsid w:val="003F08C6"/>
    <w:rsid w:val="003F0C7D"/>
    <w:rsid w:val="003F1272"/>
    <w:rsid w:val="003F1332"/>
    <w:rsid w:val="003F14DB"/>
    <w:rsid w:val="003F19AA"/>
    <w:rsid w:val="003F1B14"/>
    <w:rsid w:val="003F205C"/>
    <w:rsid w:val="003F2334"/>
    <w:rsid w:val="003F26A4"/>
    <w:rsid w:val="003F27A9"/>
    <w:rsid w:val="003F280D"/>
    <w:rsid w:val="003F3555"/>
    <w:rsid w:val="003F3CA1"/>
    <w:rsid w:val="003F40EA"/>
    <w:rsid w:val="003F46B8"/>
    <w:rsid w:val="003F483A"/>
    <w:rsid w:val="003F5B44"/>
    <w:rsid w:val="003F5E3A"/>
    <w:rsid w:val="003F5EAD"/>
    <w:rsid w:val="003F6067"/>
    <w:rsid w:val="003F608B"/>
    <w:rsid w:val="003F6217"/>
    <w:rsid w:val="003F65A1"/>
    <w:rsid w:val="003F6800"/>
    <w:rsid w:val="003F69CB"/>
    <w:rsid w:val="003F6B08"/>
    <w:rsid w:val="003F70C7"/>
    <w:rsid w:val="003F7470"/>
    <w:rsid w:val="003F74AB"/>
    <w:rsid w:val="003F74DD"/>
    <w:rsid w:val="003F7682"/>
    <w:rsid w:val="003F771E"/>
    <w:rsid w:val="003F7ECE"/>
    <w:rsid w:val="003F7F95"/>
    <w:rsid w:val="0040014D"/>
    <w:rsid w:val="004004B3"/>
    <w:rsid w:val="00401317"/>
    <w:rsid w:val="004016B9"/>
    <w:rsid w:val="00401AC3"/>
    <w:rsid w:val="00402710"/>
    <w:rsid w:val="00402ABA"/>
    <w:rsid w:val="0040351A"/>
    <w:rsid w:val="00404C19"/>
    <w:rsid w:val="00404E56"/>
    <w:rsid w:val="00404EC3"/>
    <w:rsid w:val="004056D2"/>
    <w:rsid w:val="00405BAE"/>
    <w:rsid w:val="0040606A"/>
    <w:rsid w:val="0040678E"/>
    <w:rsid w:val="004079DD"/>
    <w:rsid w:val="00407AF4"/>
    <w:rsid w:val="00407E3B"/>
    <w:rsid w:val="00410830"/>
    <w:rsid w:val="00410AD9"/>
    <w:rsid w:val="00410BF5"/>
    <w:rsid w:val="00410F75"/>
    <w:rsid w:val="0041132D"/>
    <w:rsid w:val="00411AD9"/>
    <w:rsid w:val="00411B20"/>
    <w:rsid w:val="00411DFA"/>
    <w:rsid w:val="00412258"/>
    <w:rsid w:val="00412B44"/>
    <w:rsid w:val="0041327A"/>
    <w:rsid w:val="00413D9A"/>
    <w:rsid w:val="00413DD2"/>
    <w:rsid w:val="00413E8C"/>
    <w:rsid w:val="00414442"/>
    <w:rsid w:val="00414719"/>
    <w:rsid w:val="004151AC"/>
    <w:rsid w:val="00415D9A"/>
    <w:rsid w:val="004160E2"/>
    <w:rsid w:val="00416262"/>
    <w:rsid w:val="004163B5"/>
    <w:rsid w:val="00416D27"/>
    <w:rsid w:val="00417D0E"/>
    <w:rsid w:val="00420072"/>
    <w:rsid w:val="00420649"/>
    <w:rsid w:val="00420911"/>
    <w:rsid w:val="00421432"/>
    <w:rsid w:val="004214C0"/>
    <w:rsid w:val="004215F5"/>
    <w:rsid w:val="0042194B"/>
    <w:rsid w:val="00421FBE"/>
    <w:rsid w:val="00422069"/>
    <w:rsid w:val="00422169"/>
    <w:rsid w:val="00422430"/>
    <w:rsid w:val="004234E5"/>
    <w:rsid w:val="0042394C"/>
    <w:rsid w:val="00423EC1"/>
    <w:rsid w:val="00423F0E"/>
    <w:rsid w:val="00423F32"/>
    <w:rsid w:val="00424531"/>
    <w:rsid w:val="00424A06"/>
    <w:rsid w:val="00425F0B"/>
    <w:rsid w:val="00425F14"/>
    <w:rsid w:val="00426176"/>
    <w:rsid w:val="004262A4"/>
    <w:rsid w:val="00426CAE"/>
    <w:rsid w:val="00427937"/>
    <w:rsid w:val="00427DEF"/>
    <w:rsid w:val="00430431"/>
    <w:rsid w:val="00430F4B"/>
    <w:rsid w:val="004316B1"/>
    <w:rsid w:val="004321A6"/>
    <w:rsid w:val="00432835"/>
    <w:rsid w:val="00432B1A"/>
    <w:rsid w:val="00433106"/>
    <w:rsid w:val="00433114"/>
    <w:rsid w:val="0043392D"/>
    <w:rsid w:val="004345DA"/>
    <w:rsid w:val="00435A7F"/>
    <w:rsid w:val="00435FA3"/>
    <w:rsid w:val="004365C0"/>
    <w:rsid w:val="0043708C"/>
    <w:rsid w:val="00437099"/>
    <w:rsid w:val="004372E1"/>
    <w:rsid w:val="00437888"/>
    <w:rsid w:val="0044000C"/>
    <w:rsid w:val="00440306"/>
    <w:rsid w:val="00440351"/>
    <w:rsid w:val="004403AD"/>
    <w:rsid w:val="00441569"/>
    <w:rsid w:val="004418DF"/>
    <w:rsid w:val="00441E44"/>
    <w:rsid w:val="0044222D"/>
    <w:rsid w:val="004422A4"/>
    <w:rsid w:val="0044271F"/>
    <w:rsid w:val="00442BCE"/>
    <w:rsid w:val="00442C3F"/>
    <w:rsid w:val="00443211"/>
    <w:rsid w:val="00443AF2"/>
    <w:rsid w:val="0044534F"/>
    <w:rsid w:val="0044599B"/>
    <w:rsid w:val="00445BA2"/>
    <w:rsid w:val="0044689B"/>
    <w:rsid w:val="00446ABD"/>
    <w:rsid w:val="00447578"/>
    <w:rsid w:val="00447EA8"/>
    <w:rsid w:val="00450412"/>
    <w:rsid w:val="00450A22"/>
    <w:rsid w:val="00450D4F"/>
    <w:rsid w:val="004512BC"/>
    <w:rsid w:val="00451951"/>
    <w:rsid w:val="00451BA4"/>
    <w:rsid w:val="00451DAF"/>
    <w:rsid w:val="004523D7"/>
    <w:rsid w:val="0045262D"/>
    <w:rsid w:val="0045305D"/>
    <w:rsid w:val="0045317F"/>
    <w:rsid w:val="004534C5"/>
    <w:rsid w:val="004538D9"/>
    <w:rsid w:val="00453CD7"/>
    <w:rsid w:val="004540E3"/>
    <w:rsid w:val="0045440A"/>
    <w:rsid w:val="00454619"/>
    <w:rsid w:val="00454889"/>
    <w:rsid w:val="00454A20"/>
    <w:rsid w:val="00454A42"/>
    <w:rsid w:val="00454B3A"/>
    <w:rsid w:val="00454DBC"/>
    <w:rsid w:val="004554A3"/>
    <w:rsid w:val="0045600C"/>
    <w:rsid w:val="004561CB"/>
    <w:rsid w:val="00456A2F"/>
    <w:rsid w:val="00456DCE"/>
    <w:rsid w:val="004575DF"/>
    <w:rsid w:val="00460C1A"/>
    <w:rsid w:val="00460C62"/>
    <w:rsid w:val="0046101F"/>
    <w:rsid w:val="004610D2"/>
    <w:rsid w:val="00461590"/>
    <w:rsid w:val="0046268D"/>
    <w:rsid w:val="00462FC2"/>
    <w:rsid w:val="0046337A"/>
    <w:rsid w:val="00463431"/>
    <w:rsid w:val="00463850"/>
    <w:rsid w:val="004652EA"/>
    <w:rsid w:val="0046689A"/>
    <w:rsid w:val="00466E31"/>
    <w:rsid w:val="00466EC1"/>
    <w:rsid w:val="004674F7"/>
    <w:rsid w:val="00467EA4"/>
    <w:rsid w:val="00471463"/>
    <w:rsid w:val="00472762"/>
    <w:rsid w:val="00472E99"/>
    <w:rsid w:val="0047302E"/>
    <w:rsid w:val="00473D0B"/>
    <w:rsid w:val="00474226"/>
    <w:rsid w:val="004747EF"/>
    <w:rsid w:val="00474A66"/>
    <w:rsid w:val="00474D7D"/>
    <w:rsid w:val="00475316"/>
    <w:rsid w:val="004755EE"/>
    <w:rsid w:val="00475B1F"/>
    <w:rsid w:val="00475CF0"/>
    <w:rsid w:val="004764BC"/>
    <w:rsid w:val="004769F7"/>
    <w:rsid w:val="00476FB5"/>
    <w:rsid w:val="0048048B"/>
    <w:rsid w:val="004822A5"/>
    <w:rsid w:val="00482C67"/>
    <w:rsid w:val="0048335F"/>
    <w:rsid w:val="00483C8A"/>
    <w:rsid w:val="004844B1"/>
    <w:rsid w:val="00484F6A"/>
    <w:rsid w:val="004857C8"/>
    <w:rsid w:val="0048596A"/>
    <w:rsid w:val="00486C0D"/>
    <w:rsid w:val="00486F21"/>
    <w:rsid w:val="0048705A"/>
    <w:rsid w:val="00487440"/>
    <w:rsid w:val="00490305"/>
    <w:rsid w:val="00490EA9"/>
    <w:rsid w:val="00491186"/>
    <w:rsid w:val="004913A2"/>
    <w:rsid w:val="00491983"/>
    <w:rsid w:val="00491DF0"/>
    <w:rsid w:val="00491EAF"/>
    <w:rsid w:val="0049234E"/>
    <w:rsid w:val="00493B65"/>
    <w:rsid w:val="00493E83"/>
    <w:rsid w:val="00494A31"/>
    <w:rsid w:val="00494B26"/>
    <w:rsid w:val="00494C49"/>
    <w:rsid w:val="00494E8E"/>
    <w:rsid w:val="004954C4"/>
    <w:rsid w:val="00495983"/>
    <w:rsid w:val="00495EF4"/>
    <w:rsid w:val="00496C25"/>
    <w:rsid w:val="00496E6A"/>
    <w:rsid w:val="00497846"/>
    <w:rsid w:val="004979D0"/>
    <w:rsid w:val="00497B56"/>
    <w:rsid w:val="00497CA1"/>
    <w:rsid w:val="004A079A"/>
    <w:rsid w:val="004A175A"/>
    <w:rsid w:val="004A18F8"/>
    <w:rsid w:val="004A1A5B"/>
    <w:rsid w:val="004A2384"/>
    <w:rsid w:val="004A3C30"/>
    <w:rsid w:val="004A4DD4"/>
    <w:rsid w:val="004A524D"/>
    <w:rsid w:val="004A555F"/>
    <w:rsid w:val="004A563A"/>
    <w:rsid w:val="004A5822"/>
    <w:rsid w:val="004A59D0"/>
    <w:rsid w:val="004A5A8D"/>
    <w:rsid w:val="004A6EC7"/>
    <w:rsid w:val="004A7328"/>
    <w:rsid w:val="004A7B7D"/>
    <w:rsid w:val="004A7D6E"/>
    <w:rsid w:val="004A7DDF"/>
    <w:rsid w:val="004B1E95"/>
    <w:rsid w:val="004B2333"/>
    <w:rsid w:val="004B2CA3"/>
    <w:rsid w:val="004B2DE7"/>
    <w:rsid w:val="004B3292"/>
    <w:rsid w:val="004B343A"/>
    <w:rsid w:val="004B364F"/>
    <w:rsid w:val="004B378C"/>
    <w:rsid w:val="004B3F79"/>
    <w:rsid w:val="004B40F8"/>
    <w:rsid w:val="004B437F"/>
    <w:rsid w:val="004B586B"/>
    <w:rsid w:val="004B5AE3"/>
    <w:rsid w:val="004B5BDC"/>
    <w:rsid w:val="004B5EFD"/>
    <w:rsid w:val="004B64D4"/>
    <w:rsid w:val="004B6A75"/>
    <w:rsid w:val="004B6AD5"/>
    <w:rsid w:val="004B722A"/>
    <w:rsid w:val="004B745B"/>
    <w:rsid w:val="004B75C0"/>
    <w:rsid w:val="004B78A1"/>
    <w:rsid w:val="004B794D"/>
    <w:rsid w:val="004C0999"/>
    <w:rsid w:val="004C0F63"/>
    <w:rsid w:val="004C119E"/>
    <w:rsid w:val="004C1DB2"/>
    <w:rsid w:val="004C1DCF"/>
    <w:rsid w:val="004C1E0F"/>
    <w:rsid w:val="004C1FFD"/>
    <w:rsid w:val="004C265C"/>
    <w:rsid w:val="004C2773"/>
    <w:rsid w:val="004C2795"/>
    <w:rsid w:val="004C2957"/>
    <w:rsid w:val="004C4DA0"/>
    <w:rsid w:val="004C4FC6"/>
    <w:rsid w:val="004C5AE8"/>
    <w:rsid w:val="004C6372"/>
    <w:rsid w:val="004C66ED"/>
    <w:rsid w:val="004C6990"/>
    <w:rsid w:val="004C71E1"/>
    <w:rsid w:val="004C7A02"/>
    <w:rsid w:val="004C7C61"/>
    <w:rsid w:val="004D0975"/>
    <w:rsid w:val="004D0E66"/>
    <w:rsid w:val="004D110D"/>
    <w:rsid w:val="004D140C"/>
    <w:rsid w:val="004D170F"/>
    <w:rsid w:val="004D1FA5"/>
    <w:rsid w:val="004D202B"/>
    <w:rsid w:val="004D2467"/>
    <w:rsid w:val="004D3051"/>
    <w:rsid w:val="004D3BD8"/>
    <w:rsid w:val="004D3CC4"/>
    <w:rsid w:val="004D3F58"/>
    <w:rsid w:val="004D439E"/>
    <w:rsid w:val="004D54CC"/>
    <w:rsid w:val="004D58A5"/>
    <w:rsid w:val="004D5A56"/>
    <w:rsid w:val="004D5F0C"/>
    <w:rsid w:val="004D66AD"/>
    <w:rsid w:val="004D67A1"/>
    <w:rsid w:val="004D67FE"/>
    <w:rsid w:val="004D7A33"/>
    <w:rsid w:val="004E07EB"/>
    <w:rsid w:val="004E0E06"/>
    <w:rsid w:val="004E25F7"/>
    <w:rsid w:val="004E2877"/>
    <w:rsid w:val="004E2D5C"/>
    <w:rsid w:val="004E2EC9"/>
    <w:rsid w:val="004E3407"/>
    <w:rsid w:val="004E38C2"/>
    <w:rsid w:val="004E44F5"/>
    <w:rsid w:val="004E4A6A"/>
    <w:rsid w:val="004E4F4E"/>
    <w:rsid w:val="004E528D"/>
    <w:rsid w:val="004E5386"/>
    <w:rsid w:val="004E56F4"/>
    <w:rsid w:val="004E5AC0"/>
    <w:rsid w:val="004E5D10"/>
    <w:rsid w:val="004E6830"/>
    <w:rsid w:val="004E6A7B"/>
    <w:rsid w:val="004E717C"/>
    <w:rsid w:val="004F099B"/>
    <w:rsid w:val="004F0ABC"/>
    <w:rsid w:val="004F0C0E"/>
    <w:rsid w:val="004F24AE"/>
    <w:rsid w:val="004F2F20"/>
    <w:rsid w:val="004F33C6"/>
    <w:rsid w:val="004F37F6"/>
    <w:rsid w:val="004F38DF"/>
    <w:rsid w:val="004F3A34"/>
    <w:rsid w:val="004F3F8D"/>
    <w:rsid w:val="004F4061"/>
    <w:rsid w:val="004F43C4"/>
    <w:rsid w:val="004F4D01"/>
    <w:rsid w:val="004F4E28"/>
    <w:rsid w:val="004F5DF9"/>
    <w:rsid w:val="004F61B8"/>
    <w:rsid w:val="004F67FE"/>
    <w:rsid w:val="004F7301"/>
    <w:rsid w:val="004F7561"/>
    <w:rsid w:val="00500002"/>
    <w:rsid w:val="00500F7B"/>
    <w:rsid w:val="00500F93"/>
    <w:rsid w:val="00500FB3"/>
    <w:rsid w:val="005012AC"/>
    <w:rsid w:val="00501682"/>
    <w:rsid w:val="00502945"/>
    <w:rsid w:val="00502EEE"/>
    <w:rsid w:val="0050465F"/>
    <w:rsid w:val="00504B4F"/>
    <w:rsid w:val="00504C1D"/>
    <w:rsid w:val="00504D59"/>
    <w:rsid w:val="005051B8"/>
    <w:rsid w:val="00505607"/>
    <w:rsid w:val="005068C7"/>
    <w:rsid w:val="00506D41"/>
    <w:rsid w:val="00506FEB"/>
    <w:rsid w:val="00507C8E"/>
    <w:rsid w:val="00507CE1"/>
    <w:rsid w:val="00507E45"/>
    <w:rsid w:val="005104FD"/>
    <w:rsid w:val="00510792"/>
    <w:rsid w:val="00510880"/>
    <w:rsid w:val="00510D0A"/>
    <w:rsid w:val="00510EA4"/>
    <w:rsid w:val="0051142F"/>
    <w:rsid w:val="005114B6"/>
    <w:rsid w:val="00511848"/>
    <w:rsid w:val="005121E3"/>
    <w:rsid w:val="0051267A"/>
    <w:rsid w:val="005127CA"/>
    <w:rsid w:val="00513A61"/>
    <w:rsid w:val="005141CF"/>
    <w:rsid w:val="00514635"/>
    <w:rsid w:val="00514651"/>
    <w:rsid w:val="005146B2"/>
    <w:rsid w:val="005153F2"/>
    <w:rsid w:val="005154AE"/>
    <w:rsid w:val="005160AF"/>
    <w:rsid w:val="0051687A"/>
    <w:rsid w:val="00516895"/>
    <w:rsid w:val="00517276"/>
    <w:rsid w:val="0052026E"/>
    <w:rsid w:val="005202CE"/>
    <w:rsid w:val="0052031F"/>
    <w:rsid w:val="00520376"/>
    <w:rsid w:val="0052129C"/>
    <w:rsid w:val="00521954"/>
    <w:rsid w:val="00521BB0"/>
    <w:rsid w:val="005220C9"/>
    <w:rsid w:val="0052271E"/>
    <w:rsid w:val="00522854"/>
    <w:rsid w:val="00523488"/>
    <w:rsid w:val="00523802"/>
    <w:rsid w:val="00523E19"/>
    <w:rsid w:val="00524301"/>
    <w:rsid w:val="00524454"/>
    <w:rsid w:val="005244C8"/>
    <w:rsid w:val="00524898"/>
    <w:rsid w:val="00524C18"/>
    <w:rsid w:val="00525067"/>
    <w:rsid w:val="0052589D"/>
    <w:rsid w:val="00525B9E"/>
    <w:rsid w:val="00526BF6"/>
    <w:rsid w:val="00526FF1"/>
    <w:rsid w:val="005275FE"/>
    <w:rsid w:val="00527ACC"/>
    <w:rsid w:val="00530159"/>
    <w:rsid w:val="00531A4D"/>
    <w:rsid w:val="00532085"/>
    <w:rsid w:val="005323C1"/>
    <w:rsid w:val="00533455"/>
    <w:rsid w:val="0053375D"/>
    <w:rsid w:val="005338D9"/>
    <w:rsid w:val="00533D40"/>
    <w:rsid w:val="005349C0"/>
    <w:rsid w:val="00534A9A"/>
    <w:rsid w:val="00534F9B"/>
    <w:rsid w:val="00535F52"/>
    <w:rsid w:val="005363F8"/>
    <w:rsid w:val="005367E0"/>
    <w:rsid w:val="00536AE7"/>
    <w:rsid w:val="00536F5B"/>
    <w:rsid w:val="0053718C"/>
    <w:rsid w:val="0053792D"/>
    <w:rsid w:val="00537A32"/>
    <w:rsid w:val="00537F2C"/>
    <w:rsid w:val="005401E8"/>
    <w:rsid w:val="0054082C"/>
    <w:rsid w:val="00540C96"/>
    <w:rsid w:val="00541277"/>
    <w:rsid w:val="00541284"/>
    <w:rsid w:val="00541390"/>
    <w:rsid w:val="005413F7"/>
    <w:rsid w:val="00541A3E"/>
    <w:rsid w:val="00541CDB"/>
    <w:rsid w:val="00542316"/>
    <w:rsid w:val="00542378"/>
    <w:rsid w:val="005429A6"/>
    <w:rsid w:val="005435E6"/>
    <w:rsid w:val="0054420F"/>
    <w:rsid w:val="005448DE"/>
    <w:rsid w:val="00545CCB"/>
    <w:rsid w:val="00545ECD"/>
    <w:rsid w:val="00546152"/>
    <w:rsid w:val="00546578"/>
    <w:rsid w:val="00546615"/>
    <w:rsid w:val="0054668D"/>
    <w:rsid w:val="0054716B"/>
    <w:rsid w:val="005472C7"/>
    <w:rsid w:val="0054778D"/>
    <w:rsid w:val="00547BFD"/>
    <w:rsid w:val="00547E40"/>
    <w:rsid w:val="00547F0D"/>
    <w:rsid w:val="00550818"/>
    <w:rsid w:val="00550A5B"/>
    <w:rsid w:val="00550D14"/>
    <w:rsid w:val="00551241"/>
    <w:rsid w:val="0055170D"/>
    <w:rsid w:val="00551799"/>
    <w:rsid w:val="00551D76"/>
    <w:rsid w:val="00551F30"/>
    <w:rsid w:val="00552972"/>
    <w:rsid w:val="00553194"/>
    <w:rsid w:val="0055344A"/>
    <w:rsid w:val="00553AE9"/>
    <w:rsid w:val="00553EEB"/>
    <w:rsid w:val="0055411E"/>
    <w:rsid w:val="00554891"/>
    <w:rsid w:val="00554E20"/>
    <w:rsid w:val="00555C01"/>
    <w:rsid w:val="00555C3C"/>
    <w:rsid w:val="00556142"/>
    <w:rsid w:val="0055634B"/>
    <w:rsid w:val="00556AD4"/>
    <w:rsid w:val="00556AD7"/>
    <w:rsid w:val="00556DE8"/>
    <w:rsid w:val="0055761D"/>
    <w:rsid w:val="005576AE"/>
    <w:rsid w:val="00557A82"/>
    <w:rsid w:val="0056032A"/>
    <w:rsid w:val="00560465"/>
    <w:rsid w:val="005607AF"/>
    <w:rsid w:val="00560871"/>
    <w:rsid w:val="005625BA"/>
    <w:rsid w:val="0056296E"/>
    <w:rsid w:val="005631BE"/>
    <w:rsid w:val="00563F1D"/>
    <w:rsid w:val="00563F5A"/>
    <w:rsid w:val="00564594"/>
    <w:rsid w:val="00564EDC"/>
    <w:rsid w:val="005652EA"/>
    <w:rsid w:val="00565CC4"/>
    <w:rsid w:val="00565DE5"/>
    <w:rsid w:val="005664C9"/>
    <w:rsid w:val="005667EE"/>
    <w:rsid w:val="00566A74"/>
    <w:rsid w:val="0056726E"/>
    <w:rsid w:val="0056730A"/>
    <w:rsid w:val="00570188"/>
    <w:rsid w:val="00570924"/>
    <w:rsid w:val="00570C9B"/>
    <w:rsid w:val="00571438"/>
    <w:rsid w:val="00571A10"/>
    <w:rsid w:val="00572551"/>
    <w:rsid w:val="005725EF"/>
    <w:rsid w:val="00573087"/>
    <w:rsid w:val="005730E2"/>
    <w:rsid w:val="00573697"/>
    <w:rsid w:val="005742D1"/>
    <w:rsid w:val="0057466E"/>
    <w:rsid w:val="00574755"/>
    <w:rsid w:val="0057487D"/>
    <w:rsid w:val="00574EE4"/>
    <w:rsid w:val="00575700"/>
    <w:rsid w:val="005764C6"/>
    <w:rsid w:val="00576A6F"/>
    <w:rsid w:val="00576A98"/>
    <w:rsid w:val="005807CC"/>
    <w:rsid w:val="00580914"/>
    <w:rsid w:val="00580D9D"/>
    <w:rsid w:val="0058158E"/>
    <w:rsid w:val="00581C8B"/>
    <w:rsid w:val="00581D0D"/>
    <w:rsid w:val="005822E8"/>
    <w:rsid w:val="00582428"/>
    <w:rsid w:val="005824BA"/>
    <w:rsid w:val="00582D83"/>
    <w:rsid w:val="00582F96"/>
    <w:rsid w:val="0058386C"/>
    <w:rsid w:val="00583934"/>
    <w:rsid w:val="0058509A"/>
    <w:rsid w:val="00585F00"/>
    <w:rsid w:val="0058710D"/>
    <w:rsid w:val="0058752B"/>
    <w:rsid w:val="00587807"/>
    <w:rsid w:val="00587869"/>
    <w:rsid w:val="00587BEA"/>
    <w:rsid w:val="00587F00"/>
    <w:rsid w:val="005908A5"/>
    <w:rsid w:val="00590A82"/>
    <w:rsid w:val="005916A4"/>
    <w:rsid w:val="00591EA9"/>
    <w:rsid w:val="00593038"/>
    <w:rsid w:val="00594715"/>
    <w:rsid w:val="00594973"/>
    <w:rsid w:val="005951F5"/>
    <w:rsid w:val="00595351"/>
    <w:rsid w:val="00596461"/>
    <w:rsid w:val="005971B6"/>
    <w:rsid w:val="0059782F"/>
    <w:rsid w:val="00597900"/>
    <w:rsid w:val="00597977"/>
    <w:rsid w:val="005A030D"/>
    <w:rsid w:val="005A0645"/>
    <w:rsid w:val="005A0AF5"/>
    <w:rsid w:val="005A0BD9"/>
    <w:rsid w:val="005A26E6"/>
    <w:rsid w:val="005A2C6D"/>
    <w:rsid w:val="005A352F"/>
    <w:rsid w:val="005A39D9"/>
    <w:rsid w:val="005A429D"/>
    <w:rsid w:val="005A4386"/>
    <w:rsid w:val="005A46F9"/>
    <w:rsid w:val="005A5490"/>
    <w:rsid w:val="005A55BC"/>
    <w:rsid w:val="005A5766"/>
    <w:rsid w:val="005A5958"/>
    <w:rsid w:val="005A6C12"/>
    <w:rsid w:val="005A6D6A"/>
    <w:rsid w:val="005A71A6"/>
    <w:rsid w:val="005B0EDE"/>
    <w:rsid w:val="005B10A7"/>
    <w:rsid w:val="005B11CE"/>
    <w:rsid w:val="005B1B98"/>
    <w:rsid w:val="005B2E91"/>
    <w:rsid w:val="005B30A6"/>
    <w:rsid w:val="005B39E4"/>
    <w:rsid w:val="005B3C17"/>
    <w:rsid w:val="005B426F"/>
    <w:rsid w:val="005B5C4B"/>
    <w:rsid w:val="005B5C55"/>
    <w:rsid w:val="005B6063"/>
    <w:rsid w:val="005B61E5"/>
    <w:rsid w:val="005B688B"/>
    <w:rsid w:val="005B69A0"/>
    <w:rsid w:val="005B76B6"/>
    <w:rsid w:val="005B7C94"/>
    <w:rsid w:val="005B7ECC"/>
    <w:rsid w:val="005C045F"/>
    <w:rsid w:val="005C05AA"/>
    <w:rsid w:val="005C0AF6"/>
    <w:rsid w:val="005C0B10"/>
    <w:rsid w:val="005C0DB2"/>
    <w:rsid w:val="005C1AF4"/>
    <w:rsid w:val="005C1B56"/>
    <w:rsid w:val="005C32B0"/>
    <w:rsid w:val="005C37CD"/>
    <w:rsid w:val="005C3BDA"/>
    <w:rsid w:val="005C3D7D"/>
    <w:rsid w:val="005C4BEC"/>
    <w:rsid w:val="005C5380"/>
    <w:rsid w:val="005C5919"/>
    <w:rsid w:val="005C5B20"/>
    <w:rsid w:val="005C6215"/>
    <w:rsid w:val="005C64CB"/>
    <w:rsid w:val="005C698E"/>
    <w:rsid w:val="005C70A3"/>
    <w:rsid w:val="005C7278"/>
    <w:rsid w:val="005C7AE8"/>
    <w:rsid w:val="005C7B07"/>
    <w:rsid w:val="005D0217"/>
    <w:rsid w:val="005D044B"/>
    <w:rsid w:val="005D072B"/>
    <w:rsid w:val="005D0DFB"/>
    <w:rsid w:val="005D0FB3"/>
    <w:rsid w:val="005D1143"/>
    <w:rsid w:val="005D1350"/>
    <w:rsid w:val="005D1756"/>
    <w:rsid w:val="005D1B52"/>
    <w:rsid w:val="005D2A5F"/>
    <w:rsid w:val="005D2B27"/>
    <w:rsid w:val="005D321A"/>
    <w:rsid w:val="005D377C"/>
    <w:rsid w:val="005D3D03"/>
    <w:rsid w:val="005D475A"/>
    <w:rsid w:val="005D4A6F"/>
    <w:rsid w:val="005D51E1"/>
    <w:rsid w:val="005D51F2"/>
    <w:rsid w:val="005D548D"/>
    <w:rsid w:val="005D5DE6"/>
    <w:rsid w:val="005D6B8C"/>
    <w:rsid w:val="005D7169"/>
    <w:rsid w:val="005D76D0"/>
    <w:rsid w:val="005D7FE8"/>
    <w:rsid w:val="005E044C"/>
    <w:rsid w:val="005E0575"/>
    <w:rsid w:val="005E05B8"/>
    <w:rsid w:val="005E0C8C"/>
    <w:rsid w:val="005E15A4"/>
    <w:rsid w:val="005E1AB1"/>
    <w:rsid w:val="005E1F01"/>
    <w:rsid w:val="005E2246"/>
    <w:rsid w:val="005E366C"/>
    <w:rsid w:val="005E5666"/>
    <w:rsid w:val="005E5A0E"/>
    <w:rsid w:val="005E773D"/>
    <w:rsid w:val="005E7BF8"/>
    <w:rsid w:val="005E7D68"/>
    <w:rsid w:val="005F09DF"/>
    <w:rsid w:val="005F18C8"/>
    <w:rsid w:val="005F1A70"/>
    <w:rsid w:val="005F1C95"/>
    <w:rsid w:val="005F20BC"/>
    <w:rsid w:val="005F21F3"/>
    <w:rsid w:val="005F2E8B"/>
    <w:rsid w:val="005F339F"/>
    <w:rsid w:val="005F44E8"/>
    <w:rsid w:val="005F45DD"/>
    <w:rsid w:val="005F4936"/>
    <w:rsid w:val="005F6045"/>
    <w:rsid w:val="005F657D"/>
    <w:rsid w:val="005F6BCD"/>
    <w:rsid w:val="005F6BD4"/>
    <w:rsid w:val="005F788E"/>
    <w:rsid w:val="005F7E7C"/>
    <w:rsid w:val="005F7F3D"/>
    <w:rsid w:val="005F7FF9"/>
    <w:rsid w:val="00600593"/>
    <w:rsid w:val="006016EC"/>
    <w:rsid w:val="00601D4E"/>
    <w:rsid w:val="00601DCC"/>
    <w:rsid w:val="00601DFB"/>
    <w:rsid w:val="00602609"/>
    <w:rsid w:val="00602849"/>
    <w:rsid w:val="0060486C"/>
    <w:rsid w:val="006048F6"/>
    <w:rsid w:val="00605BBF"/>
    <w:rsid w:val="00605EAE"/>
    <w:rsid w:val="00606228"/>
    <w:rsid w:val="0060643D"/>
    <w:rsid w:val="0060682D"/>
    <w:rsid w:val="00606E15"/>
    <w:rsid w:val="00607DB3"/>
    <w:rsid w:val="0061010F"/>
    <w:rsid w:val="00610150"/>
    <w:rsid w:val="00610F4F"/>
    <w:rsid w:val="00610F69"/>
    <w:rsid w:val="006111B6"/>
    <w:rsid w:val="00611448"/>
    <w:rsid w:val="0061183A"/>
    <w:rsid w:val="00611CF2"/>
    <w:rsid w:val="00612241"/>
    <w:rsid w:val="0061239D"/>
    <w:rsid w:val="006127D2"/>
    <w:rsid w:val="006130E9"/>
    <w:rsid w:val="00613A8C"/>
    <w:rsid w:val="00613F5E"/>
    <w:rsid w:val="006140B8"/>
    <w:rsid w:val="00614278"/>
    <w:rsid w:val="0061436D"/>
    <w:rsid w:val="006143E6"/>
    <w:rsid w:val="0061479B"/>
    <w:rsid w:val="006147DE"/>
    <w:rsid w:val="006150B5"/>
    <w:rsid w:val="00615581"/>
    <w:rsid w:val="00615AAB"/>
    <w:rsid w:val="006160ED"/>
    <w:rsid w:val="0061613B"/>
    <w:rsid w:val="006169C6"/>
    <w:rsid w:val="00616C66"/>
    <w:rsid w:val="00617993"/>
    <w:rsid w:val="00617C1D"/>
    <w:rsid w:val="0062017F"/>
    <w:rsid w:val="00620F92"/>
    <w:rsid w:val="00621299"/>
    <w:rsid w:val="00621AD0"/>
    <w:rsid w:val="00621E7C"/>
    <w:rsid w:val="0062224B"/>
    <w:rsid w:val="006227B4"/>
    <w:rsid w:val="00622952"/>
    <w:rsid w:val="00622A4E"/>
    <w:rsid w:val="00623DFF"/>
    <w:rsid w:val="006242F2"/>
    <w:rsid w:val="0062470D"/>
    <w:rsid w:val="00624892"/>
    <w:rsid w:val="00624AF4"/>
    <w:rsid w:val="00624BD1"/>
    <w:rsid w:val="00624DB2"/>
    <w:rsid w:val="00625508"/>
    <w:rsid w:val="0062554A"/>
    <w:rsid w:val="00626325"/>
    <w:rsid w:val="00626621"/>
    <w:rsid w:val="0062665F"/>
    <w:rsid w:val="00626F1F"/>
    <w:rsid w:val="00627220"/>
    <w:rsid w:val="00627224"/>
    <w:rsid w:val="00627676"/>
    <w:rsid w:val="00627747"/>
    <w:rsid w:val="00627BB5"/>
    <w:rsid w:val="00630710"/>
    <w:rsid w:val="00631036"/>
    <w:rsid w:val="006314DA"/>
    <w:rsid w:val="006325EF"/>
    <w:rsid w:val="0063331E"/>
    <w:rsid w:val="0063343A"/>
    <w:rsid w:val="006337C3"/>
    <w:rsid w:val="00633F4B"/>
    <w:rsid w:val="00634779"/>
    <w:rsid w:val="00634B1E"/>
    <w:rsid w:val="00634D5C"/>
    <w:rsid w:val="006355AF"/>
    <w:rsid w:val="00635772"/>
    <w:rsid w:val="00636692"/>
    <w:rsid w:val="00636808"/>
    <w:rsid w:val="00637538"/>
    <w:rsid w:val="0063787E"/>
    <w:rsid w:val="00637B68"/>
    <w:rsid w:val="00637DC5"/>
    <w:rsid w:val="00637DDF"/>
    <w:rsid w:val="006400E0"/>
    <w:rsid w:val="006402A8"/>
    <w:rsid w:val="00640635"/>
    <w:rsid w:val="00640FEF"/>
    <w:rsid w:val="0064101D"/>
    <w:rsid w:val="006411CC"/>
    <w:rsid w:val="00641788"/>
    <w:rsid w:val="006419F3"/>
    <w:rsid w:val="00641A52"/>
    <w:rsid w:val="00643424"/>
    <w:rsid w:val="006439A0"/>
    <w:rsid w:val="0064442D"/>
    <w:rsid w:val="00645202"/>
    <w:rsid w:val="00645EF3"/>
    <w:rsid w:val="0064704D"/>
    <w:rsid w:val="00647223"/>
    <w:rsid w:val="006479A3"/>
    <w:rsid w:val="006503B8"/>
    <w:rsid w:val="00650CD6"/>
    <w:rsid w:val="006513F4"/>
    <w:rsid w:val="0065158F"/>
    <w:rsid w:val="00652462"/>
    <w:rsid w:val="00652663"/>
    <w:rsid w:val="00652C80"/>
    <w:rsid w:val="00652CD0"/>
    <w:rsid w:val="00652E21"/>
    <w:rsid w:val="0065328E"/>
    <w:rsid w:val="0065481B"/>
    <w:rsid w:val="00655B2D"/>
    <w:rsid w:val="0065694D"/>
    <w:rsid w:val="006604D9"/>
    <w:rsid w:val="00661649"/>
    <w:rsid w:val="00661652"/>
    <w:rsid w:val="00661925"/>
    <w:rsid w:val="00661AA4"/>
    <w:rsid w:val="00661AC3"/>
    <w:rsid w:val="00662222"/>
    <w:rsid w:val="00662A11"/>
    <w:rsid w:val="00662C8A"/>
    <w:rsid w:val="006646B5"/>
    <w:rsid w:val="006649CE"/>
    <w:rsid w:val="00665492"/>
    <w:rsid w:val="00665578"/>
    <w:rsid w:val="00665AED"/>
    <w:rsid w:val="00666472"/>
    <w:rsid w:val="006666C9"/>
    <w:rsid w:val="00666960"/>
    <w:rsid w:val="00666D07"/>
    <w:rsid w:val="006674FA"/>
    <w:rsid w:val="00670092"/>
    <w:rsid w:val="006708A7"/>
    <w:rsid w:val="006724F8"/>
    <w:rsid w:val="00672582"/>
    <w:rsid w:val="00673B09"/>
    <w:rsid w:val="00673C02"/>
    <w:rsid w:val="00673DAB"/>
    <w:rsid w:val="006742D6"/>
    <w:rsid w:val="00674F25"/>
    <w:rsid w:val="00675429"/>
    <w:rsid w:val="00675ECB"/>
    <w:rsid w:val="00676635"/>
    <w:rsid w:val="00676807"/>
    <w:rsid w:val="00676CE8"/>
    <w:rsid w:val="00677065"/>
    <w:rsid w:val="0067726C"/>
    <w:rsid w:val="0067759C"/>
    <w:rsid w:val="0067780A"/>
    <w:rsid w:val="00677BBA"/>
    <w:rsid w:val="00677FD0"/>
    <w:rsid w:val="006801A3"/>
    <w:rsid w:val="00680509"/>
    <w:rsid w:val="006807CA"/>
    <w:rsid w:val="00681859"/>
    <w:rsid w:val="00681B6B"/>
    <w:rsid w:val="00681BA8"/>
    <w:rsid w:val="00681CBB"/>
    <w:rsid w:val="006822DB"/>
    <w:rsid w:val="006831F3"/>
    <w:rsid w:val="00683B28"/>
    <w:rsid w:val="00683CDE"/>
    <w:rsid w:val="00683F36"/>
    <w:rsid w:val="00684F76"/>
    <w:rsid w:val="0068507B"/>
    <w:rsid w:val="0068631B"/>
    <w:rsid w:val="00686CB3"/>
    <w:rsid w:val="00686CE9"/>
    <w:rsid w:val="00687AEA"/>
    <w:rsid w:val="00687CC5"/>
    <w:rsid w:val="0069043B"/>
    <w:rsid w:val="006908DF"/>
    <w:rsid w:val="00690F46"/>
    <w:rsid w:val="006913D7"/>
    <w:rsid w:val="006918C8"/>
    <w:rsid w:val="00692328"/>
    <w:rsid w:val="00692C17"/>
    <w:rsid w:val="00692C22"/>
    <w:rsid w:val="00693099"/>
    <w:rsid w:val="00693975"/>
    <w:rsid w:val="00693E46"/>
    <w:rsid w:val="00695AB4"/>
    <w:rsid w:val="006967AC"/>
    <w:rsid w:val="00696881"/>
    <w:rsid w:val="00696E10"/>
    <w:rsid w:val="0069736C"/>
    <w:rsid w:val="00697B5A"/>
    <w:rsid w:val="00697B7D"/>
    <w:rsid w:val="00697D91"/>
    <w:rsid w:val="00697FF0"/>
    <w:rsid w:val="006A02A5"/>
    <w:rsid w:val="006A0341"/>
    <w:rsid w:val="006A0FCA"/>
    <w:rsid w:val="006A15B8"/>
    <w:rsid w:val="006A18AC"/>
    <w:rsid w:val="006A2B03"/>
    <w:rsid w:val="006A2F5C"/>
    <w:rsid w:val="006A33D7"/>
    <w:rsid w:val="006A3851"/>
    <w:rsid w:val="006A38D7"/>
    <w:rsid w:val="006A5770"/>
    <w:rsid w:val="006A6163"/>
    <w:rsid w:val="006A7207"/>
    <w:rsid w:val="006A7AF7"/>
    <w:rsid w:val="006A7ECA"/>
    <w:rsid w:val="006A7FDA"/>
    <w:rsid w:val="006B06C6"/>
    <w:rsid w:val="006B0BBA"/>
    <w:rsid w:val="006B14FF"/>
    <w:rsid w:val="006B15E6"/>
    <w:rsid w:val="006B17FB"/>
    <w:rsid w:val="006B2730"/>
    <w:rsid w:val="006B27EC"/>
    <w:rsid w:val="006B2853"/>
    <w:rsid w:val="006B2932"/>
    <w:rsid w:val="006B2B86"/>
    <w:rsid w:val="006B2FE0"/>
    <w:rsid w:val="006B3023"/>
    <w:rsid w:val="006B3C1D"/>
    <w:rsid w:val="006B3F7F"/>
    <w:rsid w:val="006B43FD"/>
    <w:rsid w:val="006B49F1"/>
    <w:rsid w:val="006B521A"/>
    <w:rsid w:val="006B55C4"/>
    <w:rsid w:val="006B635C"/>
    <w:rsid w:val="006C0AEB"/>
    <w:rsid w:val="006C1B08"/>
    <w:rsid w:val="006C1D8E"/>
    <w:rsid w:val="006C2ADC"/>
    <w:rsid w:val="006C33F3"/>
    <w:rsid w:val="006C37D9"/>
    <w:rsid w:val="006C49C7"/>
    <w:rsid w:val="006C4D7C"/>
    <w:rsid w:val="006C4F80"/>
    <w:rsid w:val="006C5B7F"/>
    <w:rsid w:val="006C5C54"/>
    <w:rsid w:val="006C5CA7"/>
    <w:rsid w:val="006C63B6"/>
    <w:rsid w:val="006C6E05"/>
    <w:rsid w:val="006C6FBF"/>
    <w:rsid w:val="006C7B56"/>
    <w:rsid w:val="006D0339"/>
    <w:rsid w:val="006D1CFF"/>
    <w:rsid w:val="006D1DF6"/>
    <w:rsid w:val="006D1FA0"/>
    <w:rsid w:val="006D3B3B"/>
    <w:rsid w:val="006D3BF6"/>
    <w:rsid w:val="006D447A"/>
    <w:rsid w:val="006D4A3A"/>
    <w:rsid w:val="006D5377"/>
    <w:rsid w:val="006D555F"/>
    <w:rsid w:val="006D55E6"/>
    <w:rsid w:val="006D6E78"/>
    <w:rsid w:val="006D7B9E"/>
    <w:rsid w:val="006E0A42"/>
    <w:rsid w:val="006E0DE6"/>
    <w:rsid w:val="006E0EF2"/>
    <w:rsid w:val="006E17F7"/>
    <w:rsid w:val="006E1FC5"/>
    <w:rsid w:val="006E20C2"/>
    <w:rsid w:val="006E21B6"/>
    <w:rsid w:val="006E2876"/>
    <w:rsid w:val="006E2BA7"/>
    <w:rsid w:val="006E2D77"/>
    <w:rsid w:val="006E2DAC"/>
    <w:rsid w:val="006E2F83"/>
    <w:rsid w:val="006E42D5"/>
    <w:rsid w:val="006E44F1"/>
    <w:rsid w:val="006E47E7"/>
    <w:rsid w:val="006E49D4"/>
    <w:rsid w:val="006E4C4F"/>
    <w:rsid w:val="006E4F1D"/>
    <w:rsid w:val="006E566A"/>
    <w:rsid w:val="006E5B33"/>
    <w:rsid w:val="006E5CC1"/>
    <w:rsid w:val="006E66EA"/>
    <w:rsid w:val="006E6B08"/>
    <w:rsid w:val="006E6C8A"/>
    <w:rsid w:val="006E6CC2"/>
    <w:rsid w:val="006F0094"/>
    <w:rsid w:val="006F0152"/>
    <w:rsid w:val="006F0242"/>
    <w:rsid w:val="006F0F8C"/>
    <w:rsid w:val="006F165A"/>
    <w:rsid w:val="006F167C"/>
    <w:rsid w:val="006F1B31"/>
    <w:rsid w:val="006F26D9"/>
    <w:rsid w:val="006F2D61"/>
    <w:rsid w:val="006F2FB2"/>
    <w:rsid w:val="006F3B51"/>
    <w:rsid w:val="006F3E15"/>
    <w:rsid w:val="006F41DE"/>
    <w:rsid w:val="006F4331"/>
    <w:rsid w:val="006F4598"/>
    <w:rsid w:val="006F4CBF"/>
    <w:rsid w:val="006F4D86"/>
    <w:rsid w:val="006F50BC"/>
    <w:rsid w:val="006F51DC"/>
    <w:rsid w:val="006F52F0"/>
    <w:rsid w:val="006F5782"/>
    <w:rsid w:val="006F57E5"/>
    <w:rsid w:val="006F5D9A"/>
    <w:rsid w:val="006F6099"/>
    <w:rsid w:val="006F62A3"/>
    <w:rsid w:val="006F6DB3"/>
    <w:rsid w:val="006F7050"/>
    <w:rsid w:val="006F7100"/>
    <w:rsid w:val="006F7C5C"/>
    <w:rsid w:val="00700248"/>
    <w:rsid w:val="00700349"/>
    <w:rsid w:val="0070082F"/>
    <w:rsid w:val="00702984"/>
    <w:rsid w:val="00702FF5"/>
    <w:rsid w:val="007035CF"/>
    <w:rsid w:val="007044C8"/>
    <w:rsid w:val="00704A2B"/>
    <w:rsid w:val="0070548A"/>
    <w:rsid w:val="00706685"/>
    <w:rsid w:val="00706746"/>
    <w:rsid w:val="007078AB"/>
    <w:rsid w:val="00707FCA"/>
    <w:rsid w:val="00710781"/>
    <w:rsid w:val="0071130F"/>
    <w:rsid w:val="007115DE"/>
    <w:rsid w:val="00711C45"/>
    <w:rsid w:val="00712309"/>
    <w:rsid w:val="007125D1"/>
    <w:rsid w:val="00712B30"/>
    <w:rsid w:val="007135B9"/>
    <w:rsid w:val="0071374E"/>
    <w:rsid w:val="00713E66"/>
    <w:rsid w:val="00714231"/>
    <w:rsid w:val="00714249"/>
    <w:rsid w:val="0071471A"/>
    <w:rsid w:val="00714EA8"/>
    <w:rsid w:val="007155D9"/>
    <w:rsid w:val="00715694"/>
    <w:rsid w:val="0071638B"/>
    <w:rsid w:val="007163AF"/>
    <w:rsid w:val="0071672F"/>
    <w:rsid w:val="00717121"/>
    <w:rsid w:val="0071748C"/>
    <w:rsid w:val="00720342"/>
    <w:rsid w:val="00720790"/>
    <w:rsid w:val="00720ED1"/>
    <w:rsid w:val="00721033"/>
    <w:rsid w:val="00721503"/>
    <w:rsid w:val="007219D3"/>
    <w:rsid w:val="00721F2F"/>
    <w:rsid w:val="00722414"/>
    <w:rsid w:val="00722487"/>
    <w:rsid w:val="007226C4"/>
    <w:rsid w:val="00722A21"/>
    <w:rsid w:val="007235B9"/>
    <w:rsid w:val="00723975"/>
    <w:rsid w:val="00723A77"/>
    <w:rsid w:val="00724573"/>
    <w:rsid w:val="00724E58"/>
    <w:rsid w:val="007254AC"/>
    <w:rsid w:val="007254C3"/>
    <w:rsid w:val="00725EED"/>
    <w:rsid w:val="00726005"/>
    <w:rsid w:val="00726EF2"/>
    <w:rsid w:val="00731376"/>
    <w:rsid w:val="00731BC9"/>
    <w:rsid w:val="007321D4"/>
    <w:rsid w:val="007326CF"/>
    <w:rsid w:val="007327CB"/>
    <w:rsid w:val="00732CDF"/>
    <w:rsid w:val="00733533"/>
    <w:rsid w:val="00734167"/>
    <w:rsid w:val="00734497"/>
    <w:rsid w:val="0073534D"/>
    <w:rsid w:val="00735447"/>
    <w:rsid w:val="0073559B"/>
    <w:rsid w:val="007358FB"/>
    <w:rsid w:val="007364DA"/>
    <w:rsid w:val="0073663E"/>
    <w:rsid w:val="00736CAB"/>
    <w:rsid w:val="00736DBB"/>
    <w:rsid w:val="00737386"/>
    <w:rsid w:val="00737BAA"/>
    <w:rsid w:val="00740034"/>
    <w:rsid w:val="007401A0"/>
    <w:rsid w:val="00740CEC"/>
    <w:rsid w:val="00741278"/>
    <w:rsid w:val="00741404"/>
    <w:rsid w:val="00741A07"/>
    <w:rsid w:val="00741BB4"/>
    <w:rsid w:val="00742114"/>
    <w:rsid w:val="007421C4"/>
    <w:rsid w:val="00743606"/>
    <w:rsid w:val="00743C4B"/>
    <w:rsid w:val="0074401F"/>
    <w:rsid w:val="007457C7"/>
    <w:rsid w:val="0074590C"/>
    <w:rsid w:val="0074604D"/>
    <w:rsid w:val="00746372"/>
    <w:rsid w:val="00746D76"/>
    <w:rsid w:val="00746E5B"/>
    <w:rsid w:val="00747310"/>
    <w:rsid w:val="00750230"/>
    <w:rsid w:val="00750C29"/>
    <w:rsid w:val="00751C57"/>
    <w:rsid w:val="00752B5C"/>
    <w:rsid w:val="00753599"/>
    <w:rsid w:val="00754447"/>
    <w:rsid w:val="007546BE"/>
    <w:rsid w:val="00754B28"/>
    <w:rsid w:val="00755302"/>
    <w:rsid w:val="00755411"/>
    <w:rsid w:val="00755DD7"/>
    <w:rsid w:val="007560F8"/>
    <w:rsid w:val="00756420"/>
    <w:rsid w:val="0075696F"/>
    <w:rsid w:val="00756CB3"/>
    <w:rsid w:val="00757FE1"/>
    <w:rsid w:val="00760B5C"/>
    <w:rsid w:val="00761379"/>
    <w:rsid w:val="00761624"/>
    <w:rsid w:val="00761837"/>
    <w:rsid w:val="007618DA"/>
    <w:rsid w:val="00761B6E"/>
    <w:rsid w:val="00761C67"/>
    <w:rsid w:val="00761F89"/>
    <w:rsid w:val="007620A4"/>
    <w:rsid w:val="0076242E"/>
    <w:rsid w:val="00763741"/>
    <w:rsid w:val="007661C6"/>
    <w:rsid w:val="00766ACB"/>
    <w:rsid w:val="00766C36"/>
    <w:rsid w:val="00766DDA"/>
    <w:rsid w:val="00767370"/>
    <w:rsid w:val="007675B3"/>
    <w:rsid w:val="007677C8"/>
    <w:rsid w:val="007703C0"/>
    <w:rsid w:val="007708A8"/>
    <w:rsid w:val="00771733"/>
    <w:rsid w:val="00772339"/>
    <w:rsid w:val="007745C6"/>
    <w:rsid w:val="007747C7"/>
    <w:rsid w:val="00774844"/>
    <w:rsid w:val="0077518D"/>
    <w:rsid w:val="00775913"/>
    <w:rsid w:val="00775A21"/>
    <w:rsid w:val="007763A3"/>
    <w:rsid w:val="007763DC"/>
    <w:rsid w:val="00776DC4"/>
    <w:rsid w:val="00777EC2"/>
    <w:rsid w:val="007808BD"/>
    <w:rsid w:val="00780926"/>
    <w:rsid w:val="0078094C"/>
    <w:rsid w:val="00780E6F"/>
    <w:rsid w:val="00781DFA"/>
    <w:rsid w:val="00781EAC"/>
    <w:rsid w:val="00782ABC"/>
    <w:rsid w:val="00782F20"/>
    <w:rsid w:val="00783378"/>
    <w:rsid w:val="00783AE1"/>
    <w:rsid w:val="00783E0D"/>
    <w:rsid w:val="0078417C"/>
    <w:rsid w:val="0078438F"/>
    <w:rsid w:val="007844EB"/>
    <w:rsid w:val="00784713"/>
    <w:rsid w:val="00784E6F"/>
    <w:rsid w:val="0078590C"/>
    <w:rsid w:val="00785F5F"/>
    <w:rsid w:val="00787097"/>
    <w:rsid w:val="00787C3F"/>
    <w:rsid w:val="00787E89"/>
    <w:rsid w:val="00790F5F"/>
    <w:rsid w:val="00790F8A"/>
    <w:rsid w:val="0079114E"/>
    <w:rsid w:val="00791E54"/>
    <w:rsid w:val="007922B8"/>
    <w:rsid w:val="00792B69"/>
    <w:rsid w:val="00792C97"/>
    <w:rsid w:val="00792F26"/>
    <w:rsid w:val="0079302D"/>
    <w:rsid w:val="007931F5"/>
    <w:rsid w:val="00793327"/>
    <w:rsid w:val="00793695"/>
    <w:rsid w:val="007936EA"/>
    <w:rsid w:val="00793A00"/>
    <w:rsid w:val="007942EC"/>
    <w:rsid w:val="0079459E"/>
    <w:rsid w:val="00794A98"/>
    <w:rsid w:val="007951F5"/>
    <w:rsid w:val="007953A6"/>
    <w:rsid w:val="00795884"/>
    <w:rsid w:val="00795B8F"/>
    <w:rsid w:val="00796360"/>
    <w:rsid w:val="007966FF"/>
    <w:rsid w:val="00796C7E"/>
    <w:rsid w:val="00796D8E"/>
    <w:rsid w:val="007971F0"/>
    <w:rsid w:val="00797754"/>
    <w:rsid w:val="00797D37"/>
    <w:rsid w:val="00797F36"/>
    <w:rsid w:val="00797FD6"/>
    <w:rsid w:val="007A0CE6"/>
    <w:rsid w:val="007A16A1"/>
    <w:rsid w:val="007A1B79"/>
    <w:rsid w:val="007A1EB5"/>
    <w:rsid w:val="007A2137"/>
    <w:rsid w:val="007A2242"/>
    <w:rsid w:val="007A2350"/>
    <w:rsid w:val="007A2AB5"/>
    <w:rsid w:val="007A2B58"/>
    <w:rsid w:val="007A2E7B"/>
    <w:rsid w:val="007A3164"/>
    <w:rsid w:val="007A3A4E"/>
    <w:rsid w:val="007A43D6"/>
    <w:rsid w:val="007A4791"/>
    <w:rsid w:val="007A47A3"/>
    <w:rsid w:val="007A4849"/>
    <w:rsid w:val="007A4B4F"/>
    <w:rsid w:val="007A511F"/>
    <w:rsid w:val="007A5242"/>
    <w:rsid w:val="007A53C6"/>
    <w:rsid w:val="007A5C66"/>
    <w:rsid w:val="007A5EE4"/>
    <w:rsid w:val="007A6D23"/>
    <w:rsid w:val="007B0588"/>
    <w:rsid w:val="007B1ACF"/>
    <w:rsid w:val="007B1CF4"/>
    <w:rsid w:val="007B1D62"/>
    <w:rsid w:val="007B1E1D"/>
    <w:rsid w:val="007B203A"/>
    <w:rsid w:val="007B216B"/>
    <w:rsid w:val="007B2B1C"/>
    <w:rsid w:val="007B3980"/>
    <w:rsid w:val="007B3A30"/>
    <w:rsid w:val="007B43EF"/>
    <w:rsid w:val="007B465C"/>
    <w:rsid w:val="007B5ACE"/>
    <w:rsid w:val="007B5F76"/>
    <w:rsid w:val="007B63BB"/>
    <w:rsid w:val="007B739C"/>
    <w:rsid w:val="007B7AFB"/>
    <w:rsid w:val="007B7DC4"/>
    <w:rsid w:val="007B7E2A"/>
    <w:rsid w:val="007C0106"/>
    <w:rsid w:val="007C037E"/>
    <w:rsid w:val="007C0652"/>
    <w:rsid w:val="007C0A18"/>
    <w:rsid w:val="007C0D5A"/>
    <w:rsid w:val="007C18B1"/>
    <w:rsid w:val="007C1DA2"/>
    <w:rsid w:val="007C1E29"/>
    <w:rsid w:val="007C24A7"/>
    <w:rsid w:val="007C25A6"/>
    <w:rsid w:val="007C2730"/>
    <w:rsid w:val="007C277B"/>
    <w:rsid w:val="007C27AD"/>
    <w:rsid w:val="007C2ABC"/>
    <w:rsid w:val="007C2C5D"/>
    <w:rsid w:val="007C2EE0"/>
    <w:rsid w:val="007C3023"/>
    <w:rsid w:val="007C5239"/>
    <w:rsid w:val="007C5522"/>
    <w:rsid w:val="007C559B"/>
    <w:rsid w:val="007C5738"/>
    <w:rsid w:val="007C59D3"/>
    <w:rsid w:val="007C5B26"/>
    <w:rsid w:val="007C5C06"/>
    <w:rsid w:val="007C5F37"/>
    <w:rsid w:val="007C670C"/>
    <w:rsid w:val="007C6CD9"/>
    <w:rsid w:val="007C6EF8"/>
    <w:rsid w:val="007C71CC"/>
    <w:rsid w:val="007C7425"/>
    <w:rsid w:val="007C74C5"/>
    <w:rsid w:val="007C7601"/>
    <w:rsid w:val="007C77AA"/>
    <w:rsid w:val="007D0B87"/>
    <w:rsid w:val="007D1E5D"/>
    <w:rsid w:val="007D2F59"/>
    <w:rsid w:val="007D35D1"/>
    <w:rsid w:val="007D38A6"/>
    <w:rsid w:val="007D4351"/>
    <w:rsid w:val="007D439D"/>
    <w:rsid w:val="007D4D05"/>
    <w:rsid w:val="007D4D3C"/>
    <w:rsid w:val="007D4D6B"/>
    <w:rsid w:val="007D4EBC"/>
    <w:rsid w:val="007D56F5"/>
    <w:rsid w:val="007D5A84"/>
    <w:rsid w:val="007D6C5A"/>
    <w:rsid w:val="007D6DA3"/>
    <w:rsid w:val="007D6EA3"/>
    <w:rsid w:val="007D7193"/>
    <w:rsid w:val="007D73EA"/>
    <w:rsid w:val="007D755D"/>
    <w:rsid w:val="007D778A"/>
    <w:rsid w:val="007D77C3"/>
    <w:rsid w:val="007D78B1"/>
    <w:rsid w:val="007D7B43"/>
    <w:rsid w:val="007E0498"/>
    <w:rsid w:val="007E049B"/>
    <w:rsid w:val="007E12E2"/>
    <w:rsid w:val="007E2851"/>
    <w:rsid w:val="007E2C08"/>
    <w:rsid w:val="007E2E63"/>
    <w:rsid w:val="007E3168"/>
    <w:rsid w:val="007E385C"/>
    <w:rsid w:val="007E3D5C"/>
    <w:rsid w:val="007E4494"/>
    <w:rsid w:val="007E4867"/>
    <w:rsid w:val="007E48D3"/>
    <w:rsid w:val="007E4C60"/>
    <w:rsid w:val="007E6636"/>
    <w:rsid w:val="007E6A34"/>
    <w:rsid w:val="007E7280"/>
    <w:rsid w:val="007E7307"/>
    <w:rsid w:val="007E75F4"/>
    <w:rsid w:val="007E7A09"/>
    <w:rsid w:val="007E7D15"/>
    <w:rsid w:val="007E7FBE"/>
    <w:rsid w:val="007F0121"/>
    <w:rsid w:val="007F0469"/>
    <w:rsid w:val="007F057F"/>
    <w:rsid w:val="007F05D4"/>
    <w:rsid w:val="007F0CFD"/>
    <w:rsid w:val="007F179F"/>
    <w:rsid w:val="007F1804"/>
    <w:rsid w:val="007F1BB7"/>
    <w:rsid w:val="007F2CA9"/>
    <w:rsid w:val="007F3ED3"/>
    <w:rsid w:val="007F4528"/>
    <w:rsid w:val="007F4613"/>
    <w:rsid w:val="007F4CA8"/>
    <w:rsid w:val="007F4E57"/>
    <w:rsid w:val="007F4E69"/>
    <w:rsid w:val="007F50CF"/>
    <w:rsid w:val="007F55E0"/>
    <w:rsid w:val="007F5A6F"/>
    <w:rsid w:val="007F5D28"/>
    <w:rsid w:val="007F63BE"/>
    <w:rsid w:val="007F6A9B"/>
    <w:rsid w:val="007F6D28"/>
    <w:rsid w:val="007F6E56"/>
    <w:rsid w:val="007F7196"/>
    <w:rsid w:val="007F7317"/>
    <w:rsid w:val="007F7F3C"/>
    <w:rsid w:val="00800A13"/>
    <w:rsid w:val="00800C7D"/>
    <w:rsid w:val="0080190A"/>
    <w:rsid w:val="00802E32"/>
    <w:rsid w:val="0080376E"/>
    <w:rsid w:val="00803849"/>
    <w:rsid w:val="0080448B"/>
    <w:rsid w:val="0080527B"/>
    <w:rsid w:val="00806EE9"/>
    <w:rsid w:val="008074B0"/>
    <w:rsid w:val="008078AF"/>
    <w:rsid w:val="008105E2"/>
    <w:rsid w:val="0081202C"/>
    <w:rsid w:val="00812151"/>
    <w:rsid w:val="00812B02"/>
    <w:rsid w:val="00812BD0"/>
    <w:rsid w:val="00812D8A"/>
    <w:rsid w:val="00812DF6"/>
    <w:rsid w:val="00813EF4"/>
    <w:rsid w:val="00814337"/>
    <w:rsid w:val="00815739"/>
    <w:rsid w:val="00815E1A"/>
    <w:rsid w:val="008160AF"/>
    <w:rsid w:val="008164BC"/>
    <w:rsid w:val="008165C9"/>
    <w:rsid w:val="00816FEB"/>
    <w:rsid w:val="00817216"/>
    <w:rsid w:val="00817A16"/>
    <w:rsid w:val="0082129E"/>
    <w:rsid w:val="00821A2E"/>
    <w:rsid w:val="008225B8"/>
    <w:rsid w:val="0082261A"/>
    <w:rsid w:val="00822BC9"/>
    <w:rsid w:val="008231A9"/>
    <w:rsid w:val="008232C6"/>
    <w:rsid w:val="008237FE"/>
    <w:rsid w:val="00823872"/>
    <w:rsid w:val="00824F35"/>
    <w:rsid w:val="00825417"/>
    <w:rsid w:val="00825C67"/>
    <w:rsid w:val="00826A64"/>
    <w:rsid w:val="00827291"/>
    <w:rsid w:val="00827479"/>
    <w:rsid w:val="00827693"/>
    <w:rsid w:val="00827DAE"/>
    <w:rsid w:val="0083061A"/>
    <w:rsid w:val="00830974"/>
    <w:rsid w:val="00830D41"/>
    <w:rsid w:val="00831C98"/>
    <w:rsid w:val="00832BA0"/>
    <w:rsid w:val="0083314C"/>
    <w:rsid w:val="00834C26"/>
    <w:rsid w:val="00835512"/>
    <w:rsid w:val="00836761"/>
    <w:rsid w:val="00837C78"/>
    <w:rsid w:val="008403DF"/>
    <w:rsid w:val="008405D2"/>
    <w:rsid w:val="008407D4"/>
    <w:rsid w:val="00840E4F"/>
    <w:rsid w:val="00840F15"/>
    <w:rsid w:val="00841090"/>
    <w:rsid w:val="00841608"/>
    <w:rsid w:val="0084171E"/>
    <w:rsid w:val="00841C7B"/>
    <w:rsid w:val="00841D7C"/>
    <w:rsid w:val="008427D4"/>
    <w:rsid w:val="008428A9"/>
    <w:rsid w:val="0084299B"/>
    <w:rsid w:val="00843895"/>
    <w:rsid w:val="008438B3"/>
    <w:rsid w:val="00843B8C"/>
    <w:rsid w:val="00843F83"/>
    <w:rsid w:val="0084443E"/>
    <w:rsid w:val="00844B4C"/>
    <w:rsid w:val="00844BF3"/>
    <w:rsid w:val="0084626F"/>
    <w:rsid w:val="00846A99"/>
    <w:rsid w:val="00846E2C"/>
    <w:rsid w:val="008477C7"/>
    <w:rsid w:val="008479F6"/>
    <w:rsid w:val="00847A67"/>
    <w:rsid w:val="00847A74"/>
    <w:rsid w:val="00847A83"/>
    <w:rsid w:val="008500F3"/>
    <w:rsid w:val="008501FF"/>
    <w:rsid w:val="008502AF"/>
    <w:rsid w:val="00850C4F"/>
    <w:rsid w:val="00850D7D"/>
    <w:rsid w:val="00850F0D"/>
    <w:rsid w:val="008510E4"/>
    <w:rsid w:val="0085195E"/>
    <w:rsid w:val="00851AA7"/>
    <w:rsid w:val="00852397"/>
    <w:rsid w:val="00853F0A"/>
    <w:rsid w:val="00854162"/>
    <w:rsid w:val="00854D41"/>
    <w:rsid w:val="008554CE"/>
    <w:rsid w:val="00855514"/>
    <w:rsid w:val="00855B20"/>
    <w:rsid w:val="00855EE7"/>
    <w:rsid w:val="008566A6"/>
    <w:rsid w:val="00856926"/>
    <w:rsid w:val="008569AA"/>
    <w:rsid w:val="008572FA"/>
    <w:rsid w:val="00857949"/>
    <w:rsid w:val="00857D4C"/>
    <w:rsid w:val="0086073A"/>
    <w:rsid w:val="00860C5F"/>
    <w:rsid w:val="00860F37"/>
    <w:rsid w:val="00861132"/>
    <w:rsid w:val="00861E1B"/>
    <w:rsid w:val="00862252"/>
    <w:rsid w:val="00862F16"/>
    <w:rsid w:val="00863287"/>
    <w:rsid w:val="008634F5"/>
    <w:rsid w:val="00863F14"/>
    <w:rsid w:val="008648EF"/>
    <w:rsid w:val="00864A87"/>
    <w:rsid w:val="00865B25"/>
    <w:rsid w:val="008709AB"/>
    <w:rsid w:val="00870BF3"/>
    <w:rsid w:val="00870C8A"/>
    <w:rsid w:val="00870C9E"/>
    <w:rsid w:val="00870D25"/>
    <w:rsid w:val="00871457"/>
    <w:rsid w:val="00871483"/>
    <w:rsid w:val="00871548"/>
    <w:rsid w:val="00871A56"/>
    <w:rsid w:val="008722B1"/>
    <w:rsid w:val="00872922"/>
    <w:rsid w:val="00873DC0"/>
    <w:rsid w:val="008744F0"/>
    <w:rsid w:val="0087465D"/>
    <w:rsid w:val="00875B7A"/>
    <w:rsid w:val="00875E00"/>
    <w:rsid w:val="00875FC5"/>
    <w:rsid w:val="008760BA"/>
    <w:rsid w:val="0087619E"/>
    <w:rsid w:val="008778BD"/>
    <w:rsid w:val="00880B4F"/>
    <w:rsid w:val="008817A4"/>
    <w:rsid w:val="008817EB"/>
    <w:rsid w:val="00881EF2"/>
    <w:rsid w:val="00881F3D"/>
    <w:rsid w:val="00882605"/>
    <w:rsid w:val="0088306C"/>
    <w:rsid w:val="00883339"/>
    <w:rsid w:val="00883553"/>
    <w:rsid w:val="00883AEA"/>
    <w:rsid w:val="008841E4"/>
    <w:rsid w:val="00884563"/>
    <w:rsid w:val="00884E99"/>
    <w:rsid w:val="008855D6"/>
    <w:rsid w:val="00885CA0"/>
    <w:rsid w:val="00886812"/>
    <w:rsid w:val="0088684B"/>
    <w:rsid w:val="00886AF4"/>
    <w:rsid w:val="00886E69"/>
    <w:rsid w:val="00887B0B"/>
    <w:rsid w:val="00887DA8"/>
    <w:rsid w:val="0089004E"/>
    <w:rsid w:val="00890ADF"/>
    <w:rsid w:val="00891A19"/>
    <w:rsid w:val="00891E4B"/>
    <w:rsid w:val="00892995"/>
    <w:rsid w:val="00893195"/>
    <w:rsid w:val="0089323D"/>
    <w:rsid w:val="008935E6"/>
    <w:rsid w:val="008938E6"/>
    <w:rsid w:val="00893DC5"/>
    <w:rsid w:val="00894598"/>
    <w:rsid w:val="0089491C"/>
    <w:rsid w:val="00894C99"/>
    <w:rsid w:val="00894DE3"/>
    <w:rsid w:val="00895025"/>
    <w:rsid w:val="008957EC"/>
    <w:rsid w:val="008962D0"/>
    <w:rsid w:val="00896631"/>
    <w:rsid w:val="00896736"/>
    <w:rsid w:val="00896CD2"/>
    <w:rsid w:val="0089724D"/>
    <w:rsid w:val="0089748B"/>
    <w:rsid w:val="00897629"/>
    <w:rsid w:val="00897932"/>
    <w:rsid w:val="008A0045"/>
    <w:rsid w:val="008A095B"/>
    <w:rsid w:val="008A0DFD"/>
    <w:rsid w:val="008A15EB"/>
    <w:rsid w:val="008A175F"/>
    <w:rsid w:val="008A1C05"/>
    <w:rsid w:val="008A2235"/>
    <w:rsid w:val="008A2AC9"/>
    <w:rsid w:val="008A2D75"/>
    <w:rsid w:val="008A2F14"/>
    <w:rsid w:val="008A3BB9"/>
    <w:rsid w:val="008A3C5B"/>
    <w:rsid w:val="008A3E1D"/>
    <w:rsid w:val="008A3EB5"/>
    <w:rsid w:val="008A49F6"/>
    <w:rsid w:val="008A510D"/>
    <w:rsid w:val="008A57AB"/>
    <w:rsid w:val="008A58A0"/>
    <w:rsid w:val="008A5CE8"/>
    <w:rsid w:val="008A5E82"/>
    <w:rsid w:val="008A5F3B"/>
    <w:rsid w:val="008A6216"/>
    <w:rsid w:val="008A66E2"/>
    <w:rsid w:val="008A79B9"/>
    <w:rsid w:val="008A7EA9"/>
    <w:rsid w:val="008B0094"/>
    <w:rsid w:val="008B04F3"/>
    <w:rsid w:val="008B0582"/>
    <w:rsid w:val="008B0770"/>
    <w:rsid w:val="008B0D84"/>
    <w:rsid w:val="008B221C"/>
    <w:rsid w:val="008B2873"/>
    <w:rsid w:val="008B31EA"/>
    <w:rsid w:val="008B3954"/>
    <w:rsid w:val="008B4042"/>
    <w:rsid w:val="008B4C9E"/>
    <w:rsid w:val="008B4CA6"/>
    <w:rsid w:val="008B5EF1"/>
    <w:rsid w:val="008B6084"/>
    <w:rsid w:val="008B6762"/>
    <w:rsid w:val="008B6AD1"/>
    <w:rsid w:val="008B7B45"/>
    <w:rsid w:val="008B7D72"/>
    <w:rsid w:val="008C01C0"/>
    <w:rsid w:val="008C03CE"/>
    <w:rsid w:val="008C1AA1"/>
    <w:rsid w:val="008C1B9C"/>
    <w:rsid w:val="008C1C99"/>
    <w:rsid w:val="008C1DDB"/>
    <w:rsid w:val="008C1E6E"/>
    <w:rsid w:val="008C1EC9"/>
    <w:rsid w:val="008C20BB"/>
    <w:rsid w:val="008C2386"/>
    <w:rsid w:val="008C2682"/>
    <w:rsid w:val="008C352F"/>
    <w:rsid w:val="008C3640"/>
    <w:rsid w:val="008C3B78"/>
    <w:rsid w:val="008C3CF8"/>
    <w:rsid w:val="008C3D3C"/>
    <w:rsid w:val="008C41A7"/>
    <w:rsid w:val="008C4CC9"/>
    <w:rsid w:val="008C4D8A"/>
    <w:rsid w:val="008C50BB"/>
    <w:rsid w:val="008C5287"/>
    <w:rsid w:val="008C5878"/>
    <w:rsid w:val="008C594A"/>
    <w:rsid w:val="008C5EFE"/>
    <w:rsid w:val="008C65B0"/>
    <w:rsid w:val="008C6A2B"/>
    <w:rsid w:val="008C6DCB"/>
    <w:rsid w:val="008C7733"/>
    <w:rsid w:val="008D03EE"/>
    <w:rsid w:val="008D14A2"/>
    <w:rsid w:val="008D16EE"/>
    <w:rsid w:val="008D171F"/>
    <w:rsid w:val="008D1832"/>
    <w:rsid w:val="008D198D"/>
    <w:rsid w:val="008D29A7"/>
    <w:rsid w:val="008D3193"/>
    <w:rsid w:val="008D3251"/>
    <w:rsid w:val="008D341D"/>
    <w:rsid w:val="008D376A"/>
    <w:rsid w:val="008D38BC"/>
    <w:rsid w:val="008D3D02"/>
    <w:rsid w:val="008D4327"/>
    <w:rsid w:val="008D4583"/>
    <w:rsid w:val="008D4617"/>
    <w:rsid w:val="008D4AD1"/>
    <w:rsid w:val="008D5C73"/>
    <w:rsid w:val="008D5DC1"/>
    <w:rsid w:val="008D6A38"/>
    <w:rsid w:val="008D6CB6"/>
    <w:rsid w:val="008E0220"/>
    <w:rsid w:val="008E09E8"/>
    <w:rsid w:val="008E0B35"/>
    <w:rsid w:val="008E0B6F"/>
    <w:rsid w:val="008E0D3E"/>
    <w:rsid w:val="008E1B8F"/>
    <w:rsid w:val="008E1DB1"/>
    <w:rsid w:val="008E22C5"/>
    <w:rsid w:val="008E414B"/>
    <w:rsid w:val="008E42BC"/>
    <w:rsid w:val="008E4E01"/>
    <w:rsid w:val="008E615F"/>
    <w:rsid w:val="008E629C"/>
    <w:rsid w:val="008E7442"/>
    <w:rsid w:val="008E787D"/>
    <w:rsid w:val="008E78C4"/>
    <w:rsid w:val="008E7CE6"/>
    <w:rsid w:val="008E7D82"/>
    <w:rsid w:val="008E7DE8"/>
    <w:rsid w:val="008F0A0C"/>
    <w:rsid w:val="008F0FFA"/>
    <w:rsid w:val="008F26F2"/>
    <w:rsid w:val="008F30F8"/>
    <w:rsid w:val="008F329A"/>
    <w:rsid w:val="008F3475"/>
    <w:rsid w:val="008F381C"/>
    <w:rsid w:val="008F405F"/>
    <w:rsid w:val="008F5587"/>
    <w:rsid w:val="008F5CB8"/>
    <w:rsid w:val="008F6EA6"/>
    <w:rsid w:val="008F7A66"/>
    <w:rsid w:val="008F7D5E"/>
    <w:rsid w:val="00900354"/>
    <w:rsid w:val="009012E2"/>
    <w:rsid w:val="00901A1C"/>
    <w:rsid w:val="00901F9E"/>
    <w:rsid w:val="00902521"/>
    <w:rsid w:val="009026E3"/>
    <w:rsid w:val="0090281C"/>
    <w:rsid w:val="00903148"/>
    <w:rsid w:val="0090330F"/>
    <w:rsid w:val="00903B27"/>
    <w:rsid w:val="00903BEB"/>
    <w:rsid w:val="00903D8B"/>
    <w:rsid w:val="00903F74"/>
    <w:rsid w:val="009043E3"/>
    <w:rsid w:val="00904960"/>
    <w:rsid w:val="00904B04"/>
    <w:rsid w:val="00904EA2"/>
    <w:rsid w:val="0090543B"/>
    <w:rsid w:val="009057A7"/>
    <w:rsid w:val="009057EA"/>
    <w:rsid w:val="00905E5C"/>
    <w:rsid w:val="00906F43"/>
    <w:rsid w:val="00906FEB"/>
    <w:rsid w:val="009072BE"/>
    <w:rsid w:val="009075B7"/>
    <w:rsid w:val="00907BF4"/>
    <w:rsid w:val="00910B53"/>
    <w:rsid w:val="00910FE4"/>
    <w:rsid w:val="0091151E"/>
    <w:rsid w:val="009115FB"/>
    <w:rsid w:val="00911CF2"/>
    <w:rsid w:val="00911EA9"/>
    <w:rsid w:val="00911F16"/>
    <w:rsid w:val="0091282D"/>
    <w:rsid w:val="00912D28"/>
    <w:rsid w:val="00912F78"/>
    <w:rsid w:val="009133BF"/>
    <w:rsid w:val="00913530"/>
    <w:rsid w:val="009150A8"/>
    <w:rsid w:val="009153E9"/>
    <w:rsid w:val="00915D09"/>
    <w:rsid w:val="00916B47"/>
    <w:rsid w:val="00916FCF"/>
    <w:rsid w:val="00917010"/>
    <w:rsid w:val="0091721D"/>
    <w:rsid w:val="00917DB6"/>
    <w:rsid w:val="0092018E"/>
    <w:rsid w:val="009203BF"/>
    <w:rsid w:val="00920508"/>
    <w:rsid w:val="00920553"/>
    <w:rsid w:val="00920BEB"/>
    <w:rsid w:val="00921076"/>
    <w:rsid w:val="009219F8"/>
    <w:rsid w:val="00921C90"/>
    <w:rsid w:val="00922F8A"/>
    <w:rsid w:val="00923ECC"/>
    <w:rsid w:val="00924082"/>
    <w:rsid w:val="0092409D"/>
    <w:rsid w:val="0092418B"/>
    <w:rsid w:val="009241E2"/>
    <w:rsid w:val="00924415"/>
    <w:rsid w:val="00924B98"/>
    <w:rsid w:val="00924E6D"/>
    <w:rsid w:val="00925020"/>
    <w:rsid w:val="00925069"/>
    <w:rsid w:val="00925A8B"/>
    <w:rsid w:val="00930375"/>
    <w:rsid w:val="00930830"/>
    <w:rsid w:val="009308F8"/>
    <w:rsid w:val="00930A43"/>
    <w:rsid w:val="009312C7"/>
    <w:rsid w:val="00931449"/>
    <w:rsid w:val="00931B4A"/>
    <w:rsid w:val="00931E0E"/>
    <w:rsid w:val="009325FD"/>
    <w:rsid w:val="009326ED"/>
    <w:rsid w:val="00932CDA"/>
    <w:rsid w:val="0093390F"/>
    <w:rsid w:val="00933C50"/>
    <w:rsid w:val="00933E13"/>
    <w:rsid w:val="00934133"/>
    <w:rsid w:val="00934DA2"/>
    <w:rsid w:val="00935473"/>
    <w:rsid w:val="009357FB"/>
    <w:rsid w:val="00935958"/>
    <w:rsid w:val="00935CB2"/>
    <w:rsid w:val="009367E1"/>
    <w:rsid w:val="0093715A"/>
    <w:rsid w:val="00937211"/>
    <w:rsid w:val="009372DD"/>
    <w:rsid w:val="00937C56"/>
    <w:rsid w:val="00937F0E"/>
    <w:rsid w:val="00940117"/>
    <w:rsid w:val="00940ECA"/>
    <w:rsid w:val="00941FE8"/>
    <w:rsid w:val="00942186"/>
    <w:rsid w:val="009429D0"/>
    <w:rsid w:val="00942C06"/>
    <w:rsid w:val="00942EAC"/>
    <w:rsid w:val="0094416B"/>
    <w:rsid w:val="0094424A"/>
    <w:rsid w:val="00944291"/>
    <w:rsid w:val="00944870"/>
    <w:rsid w:val="009448A1"/>
    <w:rsid w:val="00944A56"/>
    <w:rsid w:val="009451DB"/>
    <w:rsid w:val="00945478"/>
    <w:rsid w:val="00945F91"/>
    <w:rsid w:val="0094616E"/>
    <w:rsid w:val="0094642A"/>
    <w:rsid w:val="009467B6"/>
    <w:rsid w:val="00946E42"/>
    <w:rsid w:val="009470C6"/>
    <w:rsid w:val="00947379"/>
    <w:rsid w:val="00947BD6"/>
    <w:rsid w:val="00950027"/>
    <w:rsid w:val="00950510"/>
    <w:rsid w:val="00950C0B"/>
    <w:rsid w:val="00950E88"/>
    <w:rsid w:val="009516C1"/>
    <w:rsid w:val="00951A5A"/>
    <w:rsid w:val="00951E1A"/>
    <w:rsid w:val="00951FCA"/>
    <w:rsid w:val="009523B7"/>
    <w:rsid w:val="0095327C"/>
    <w:rsid w:val="00953859"/>
    <w:rsid w:val="009544C5"/>
    <w:rsid w:val="0095575F"/>
    <w:rsid w:val="0095625A"/>
    <w:rsid w:val="0095645F"/>
    <w:rsid w:val="00956E1F"/>
    <w:rsid w:val="009570B5"/>
    <w:rsid w:val="00957782"/>
    <w:rsid w:val="00957C58"/>
    <w:rsid w:val="0096001D"/>
    <w:rsid w:val="009608D7"/>
    <w:rsid w:val="00960991"/>
    <w:rsid w:val="009615B4"/>
    <w:rsid w:val="00961A4E"/>
    <w:rsid w:val="00961D4F"/>
    <w:rsid w:val="0096262C"/>
    <w:rsid w:val="00962CC3"/>
    <w:rsid w:val="00962CEA"/>
    <w:rsid w:val="00962D75"/>
    <w:rsid w:val="00962E7C"/>
    <w:rsid w:val="00964397"/>
    <w:rsid w:val="009647EE"/>
    <w:rsid w:val="00965369"/>
    <w:rsid w:val="0096582B"/>
    <w:rsid w:val="00965AAA"/>
    <w:rsid w:val="00965B1B"/>
    <w:rsid w:val="00965B97"/>
    <w:rsid w:val="00965C8B"/>
    <w:rsid w:val="00965D7D"/>
    <w:rsid w:val="0096681F"/>
    <w:rsid w:val="009669CB"/>
    <w:rsid w:val="00967523"/>
    <w:rsid w:val="00970509"/>
    <w:rsid w:val="009706FB"/>
    <w:rsid w:val="00970F84"/>
    <w:rsid w:val="0097160F"/>
    <w:rsid w:val="009724FA"/>
    <w:rsid w:val="00972A5E"/>
    <w:rsid w:val="00973EC1"/>
    <w:rsid w:val="0097417B"/>
    <w:rsid w:val="00974289"/>
    <w:rsid w:val="0097558C"/>
    <w:rsid w:val="00975867"/>
    <w:rsid w:val="009758A3"/>
    <w:rsid w:val="0097640A"/>
    <w:rsid w:val="00976ACE"/>
    <w:rsid w:val="00976BE1"/>
    <w:rsid w:val="009770C7"/>
    <w:rsid w:val="00977FB5"/>
    <w:rsid w:val="00980A6B"/>
    <w:rsid w:val="009817A2"/>
    <w:rsid w:val="00981B71"/>
    <w:rsid w:val="00981FD4"/>
    <w:rsid w:val="009825A3"/>
    <w:rsid w:val="009833B2"/>
    <w:rsid w:val="009836EC"/>
    <w:rsid w:val="00983CC2"/>
    <w:rsid w:val="009849CA"/>
    <w:rsid w:val="00984AF4"/>
    <w:rsid w:val="00984AFD"/>
    <w:rsid w:val="00985152"/>
    <w:rsid w:val="00985B9C"/>
    <w:rsid w:val="00985D0E"/>
    <w:rsid w:val="009862B5"/>
    <w:rsid w:val="00986305"/>
    <w:rsid w:val="00987678"/>
    <w:rsid w:val="00987C15"/>
    <w:rsid w:val="00987F1B"/>
    <w:rsid w:val="00990C66"/>
    <w:rsid w:val="00992577"/>
    <w:rsid w:val="009928D1"/>
    <w:rsid w:val="00992963"/>
    <w:rsid w:val="009931AA"/>
    <w:rsid w:val="00993219"/>
    <w:rsid w:val="0099420F"/>
    <w:rsid w:val="00994626"/>
    <w:rsid w:val="00994A4F"/>
    <w:rsid w:val="00994B4A"/>
    <w:rsid w:val="009957B6"/>
    <w:rsid w:val="00996067"/>
    <w:rsid w:val="00996C5D"/>
    <w:rsid w:val="00996FC2"/>
    <w:rsid w:val="009970F4"/>
    <w:rsid w:val="009A095D"/>
    <w:rsid w:val="009A0A21"/>
    <w:rsid w:val="009A1940"/>
    <w:rsid w:val="009A1ED3"/>
    <w:rsid w:val="009A205A"/>
    <w:rsid w:val="009A21D1"/>
    <w:rsid w:val="009A2577"/>
    <w:rsid w:val="009A26BA"/>
    <w:rsid w:val="009A307B"/>
    <w:rsid w:val="009A3C59"/>
    <w:rsid w:val="009A42EF"/>
    <w:rsid w:val="009A4395"/>
    <w:rsid w:val="009A444F"/>
    <w:rsid w:val="009A445C"/>
    <w:rsid w:val="009A4610"/>
    <w:rsid w:val="009A4F1E"/>
    <w:rsid w:val="009A5487"/>
    <w:rsid w:val="009A5F49"/>
    <w:rsid w:val="009A6FB0"/>
    <w:rsid w:val="009A743F"/>
    <w:rsid w:val="009A744B"/>
    <w:rsid w:val="009A78BA"/>
    <w:rsid w:val="009A7960"/>
    <w:rsid w:val="009A7ECE"/>
    <w:rsid w:val="009B000C"/>
    <w:rsid w:val="009B09EB"/>
    <w:rsid w:val="009B0EC0"/>
    <w:rsid w:val="009B1139"/>
    <w:rsid w:val="009B1BC8"/>
    <w:rsid w:val="009B2E74"/>
    <w:rsid w:val="009B2FDE"/>
    <w:rsid w:val="009B3087"/>
    <w:rsid w:val="009B33AF"/>
    <w:rsid w:val="009B3D23"/>
    <w:rsid w:val="009B509C"/>
    <w:rsid w:val="009B5E2A"/>
    <w:rsid w:val="009B5E97"/>
    <w:rsid w:val="009B6D4F"/>
    <w:rsid w:val="009C0B4F"/>
    <w:rsid w:val="009C10F7"/>
    <w:rsid w:val="009C14B1"/>
    <w:rsid w:val="009C14B2"/>
    <w:rsid w:val="009C1B28"/>
    <w:rsid w:val="009C1CB1"/>
    <w:rsid w:val="009C2E92"/>
    <w:rsid w:val="009C377D"/>
    <w:rsid w:val="009C466D"/>
    <w:rsid w:val="009C4911"/>
    <w:rsid w:val="009C547D"/>
    <w:rsid w:val="009C5518"/>
    <w:rsid w:val="009C5A28"/>
    <w:rsid w:val="009C5D92"/>
    <w:rsid w:val="009C661C"/>
    <w:rsid w:val="009C6972"/>
    <w:rsid w:val="009C6CFD"/>
    <w:rsid w:val="009C6F0B"/>
    <w:rsid w:val="009C7230"/>
    <w:rsid w:val="009C7885"/>
    <w:rsid w:val="009C7F34"/>
    <w:rsid w:val="009D00B7"/>
    <w:rsid w:val="009D01B8"/>
    <w:rsid w:val="009D044D"/>
    <w:rsid w:val="009D10AB"/>
    <w:rsid w:val="009D12AF"/>
    <w:rsid w:val="009D2984"/>
    <w:rsid w:val="009D33DB"/>
    <w:rsid w:val="009D3C7F"/>
    <w:rsid w:val="009D45E2"/>
    <w:rsid w:val="009D469E"/>
    <w:rsid w:val="009D48AA"/>
    <w:rsid w:val="009D4902"/>
    <w:rsid w:val="009D49CC"/>
    <w:rsid w:val="009D5321"/>
    <w:rsid w:val="009D58D5"/>
    <w:rsid w:val="009D5952"/>
    <w:rsid w:val="009D5FF3"/>
    <w:rsid w:val="009D64E5"/>
    <w:rsid w:val="009D71EB"/>
    <w:rsid w:val="009D7CF8"/>
    <w:rsid w:val="009E0BE8"/>
    <w:rsid w:val="009E17A5"/>
    <w:rsid w:val="009E1951"/>
    <w:rsid w:val="009E2D2D"/>
    <w:rsid w:val="009E31FF"/>
    <w:rsid w:val="009E32E3"/>
    <w:rsid w:val="009E4580"/>
    <w:rsid w:val="009E4DB6"/>
    <w:rsid w:val="009F0BB9"/>
    <w:rsid w:val="009F14F9"/>
    <w:rsid w:val="009F2CE7"/>
    <w:rsid w:val="009F2FF8"/>
    <w:rsid w:val="009F3771"/>
    <w:rsid w:val="009F3DF3"/>
    <w:rsid w:val="009F3F49"/>
    <w:rsid w:val="009F3F67"/>
    <w:rsid w:val="009F46F4"/>
    <w:rsid w:val="009F474A"/>
    <w:rsid w:val="009F496C"/>
    <w:rsid w:val="009F4ABD"/>
    <w:rsid w:val="009F4C7D"/>
    <w:rsid w:val="009F4E61"/>
    <w:rsid w:val="009F5580"/>
    <w:rsid w:val="009F573E"/>
    <w:rsid w:val="009F5BF0"/>
    <w:rsid w:val="009F5E14"/>
    <w:rsid w:val="009F604B"/>
    <w:rsid w:val="009F62CE"/>
    <w:rsid w:val="009F67B4"/>
    <w:rsid w:val="009F6B25"/>
    <w:rsid w:val="009F6E3B"/>
    <w:rsid w:val="009F6EE9"/>
    <w:rsid w:val="009F7654"/>
    <w:rsid w:val="009F7713"/>
    <w:rsid w:val="009F7A2A"/>
    <w:rsid w:val="00A005AD"/>
    <w:rsid w:val="00A019C2"/>
    <w:rsid w:val="00A01C5B"/>
    <w:rsid w:val="00A01CB1"/>
    <w:rsid w:val="00A027E5"/>
    <w:rsid w:val="00A03010"/>
    <w:rsid w:val="00A03245"/>
    <w:rsid w:val="00A03457"/>
    <w:rsid w:val="00A036F7"/>
    <w:rsid w:val="00A03879"/>
    <w:rsid w:val="00A0477B"/>
    <w:rsid w:val="00A04AAD"/>
    <w:rsid w:val="00A04E37"/>
    <w:rsid w:val="00A04F27"/>
    <w:rsid w:val="00A05761"/>
    <w:rsid w:val="00A05FC3"/>
    <w:rsid w:val="00A06835"/>
    <w:rsid w:val="00A06F8F"/>
    <w:rsid w:val="00A077C6"/>
    <w:rsid w:val="00A07CDA"/>
    <w:rsid w:val="00A10D80"/>
    <w:rsid w:val="00A11B33"/>
    <w:rsid w:val="00A11B84"/>
    <w:rsid w:val="00A11DAC"/>
    <w:rsid w:val="00A1460E"/>
    <w:rsid w:val="00A14810"/>
    <w:rsid w:val="00A1495A"/>
    <w:rsid w:val="00A1504A"/>
    <w:rsid w:val="00A15621"/>
    <w:rsid w:val="00A15BB4"/>
    <w:rsid w:val="00A15D8D"/>
    <w:rsid w:val="00A15DB5"/>
    <w:rsid w:val="00A16FCF"/>
    <w:rsid w:val="00A17128"/>
    <w:rsid w:val="00A17716"/>
    <w:rsid w:val="00A206A3"/>
    <w:rsid w:val="00A20ECE"/>
    <w:rsid w:val="00A21486"/>
    <w:rsid w:val="00A21507"/>
    <w:rsid w:val="00A21E4B"/>
    <w:rsid w:val="00A22F01"/>
    <w:rsid w:val="00A23591"/>
    <w:rsid w:val="00A23825"/>
    <w:rsid w:val="00A23EEA"/>
    <w:rsid w:val="00A25432"/>
    <w:rsid w:val="00A25A2C"/>
    <w:rsid w:val="00A25B64"/>
    <w:rsid w:val="00A26C07"/>
    <w:rsid w:val="00A26C5B"/>
    <w:rsid w:val="00A2744E"/>
    <w:rsid w:val="00A27481"/>
    <w:rsid w:val="00A276F4"/>
    <w:rsid w:val="00A27777"/>
    <w:rsid w:val="00A27C16"/>
    <w:rsid w:val="00A27D74"/>
    <w:rsid w:val="00A30831"/>
    <w:rsid w:val="00A30B8D"/>
    <w:rsid w:val="00A30DC6"/>
    <w:rsid w:val="00A31048"/>
    <w:rsid w:val="00A32959"/>
    <w:rsid w:val="00A3343B"/>
    <w:rsid w:val="00A33E59"/>
    <w:rsid w:val="00A33E7F"/>
    <w:rsid w:val="00A34633"/>
    <w:rsid w:val="00A34B68"/>
    <w:rsid w:val="00A35464"/>
    <w:rsid w:val="00A35B6B"/>
    <w:rsid w:val="00A35C61"/>
    <w:rsid w:val="00A367DF"/>
    <w:rsid w:val="00A3691B"/>
    <w:rsid w:val="00A36E41"/>
    <w:rsid w:val="00A3740E"/>
    <w:rsid w:val="00A37CDD"/>
    <w:rsid w:val="00A40662"/>
    <w:rsid w:val="00A408F8"/>
    <w:rsid w:val="00A40F15"/>
    <w:rsid w:val="00A40F9F"/>
    <w:rsid w:val="00A41085"/>
    <w:rsid w:val="00A41292"/>
    <w:rsid w:val="00A41EED"/>
    <w:rsid w:val="00A420D8"/>
    <w:rsid w:val="00A42C91"/>
    <w:rsid w:val="00A42DEC"/>
    <w:rsid w:val="00A4353B"/>
    <w:rsid w:val="00A44122"/>
    <w:rsid w:val="00A4418B"/>
    <w:rsid w:val="00A44298"/>
    <w:rsid w:val="00A452C8"/>
    <w:rsid w:val="00A45825"/>
    <w:rsid w:val="00A45889"/>
    <w:rsid w:val="00A45A4C"/>
    <w:rsid w:val="00A45A52"/>
    <w:rsid w:val="00A45A9E"/>
    <w:rsid w:val="00A46126"/>
    <w:rsid w:val="00A461D8"/>
    <w:rsid w:val="00A46708"/>
    <w:rsid w:val="00A475C6"/>
    <w:rsid w:val="00A47D43"/>
    <w:rsid w:val="00A47ED9"/>
    <w:rsid w:val="00A50190"/>
    <w:rsid w:val="00A50EF7"/>
    <w:rsid w:val="00A50F00"/>
    <w:rsid w:val="00A52465"/>
    <w:rsid w:val="00A52860"/>
    <w:rsid w:val="00A52AB6"/>
    <w:rsid w:val="00A52BF4"/>
    <w:rsid w:val="00A536DF"/>
    <w:rsid w:val="00A5407F"/>
    <w:rsid w:val="00A55136"/>
    <w:rsid w:val="00A553E5"/>
    <w:rsid w:val="00A557E6"/>
    <w:rsid w:val="00A55EA8"/>
    <w:rsid w:val="00A561D3"/>
    <w:rsid w:val="00A5697E"/>
    <w:rsid w:val="00A569B5"/>
    <w:rsid w:val="00A5759C"/>
    <w:rsid w:val="00A576C9"/>
    <w:rsid w:val="00A57DEB"/>
    <w:rsid w:val="00A57F09"/>
    <w:rsid w:val="00A606FC"/>
    <w:rsid w:val="00A61147"/>
    <w:rsid w:val="00A6173D"/>
    <w:rsid w:val="00A61ED3"/>
    <w:rsid w:val="00A62007"/>
    <w:rsid w:val="00A6207E"/>
    <w:rsid w:val="00A62C67"/>
    <w:rsid w:val="00A62F05"/>
    <w:rsid w:val="00A62F57"/>
    <w:rsid w:val="00A6312F"/>
    <w:rsid w:val="00A63355"/>
    <w:rsid w:val="00A63496"/>
    <w:rsid w:val="00A637E4"/>
    <w:rsid w:val="00A63EAC"/>
    <w:rsid w:val="00A6422E"/>
    <w:rsid w:val="00A644A4"/>
    <w:rsid w:val="00A64838"/>
    <w:rsid w:val="00A64980"/>
    <w:rsid w:val="00A649CE"/>
    <w:rsid w:val="00A64CE0"/>
    <w:rsid w:val="00A65337"/>
    <w:rsid w:val="00A654D7"/>
    <w:rsid w:val="00A6577E"/>
    <w:rsid w:val="00A65963"/>
    <w:rsid w:val="00A65DE3"/>
    <w:rsid w:val="00A65EB4"/>
    <w:rsid w:val="00A66B97"/>
    <w:rsid w:val="00A67503"/>
    <w:rsid w:val="00A679E3"/>
    <w:rsid w:val="00A67A7C"/>
    <w:rsid w:val="00A67CA7"/>
    <w:rsid w:val="00A70022"/>
    <w:rsid w:val="00A717B4"/>
    <w:rsid w:val="00A731DB"/>
    <w:rsid w:val="00A736FF"/>
    <w:rsid w:val="00A737D7"/>
    <w:rsid w:val="00A73BAF"/>
    <w:rsid w:val="00A7425B"/>
    <w:rsid w:val="00A75004"/>
    <w:rsid w:val="00A757CF"/>
    <w:rsid w:val="00A75BD0"/>
    <w:rsid w:val="00A76416"/>
    <w:rsid w:val="00A76876"/>
    <w:rsid w:val="00A76A79"/>
    <w:rsid w:val="00A76AF8"/>
    <w:rsid w:val="00A7711A"/>
    <w:rsid w:val="00A774FE"/>
    <w:rsid w:val="00A80078"/>
    <w:rsid w:val="00A81C8F"/>
    <w:rsid w:val="00A8217C"/>
    <w:rsid w:val="00A827A1"/>
    <w:rsid w:val="00A82EBA"/>
    <w:rsid w:val="00A83631"/>
    <w:rsid w:val="00A8436A"/>
    <w:rsid w:val="00A8468A"/>
    <w:rsid w:val="00A84A0B"/>
    <w:rsid w:val="00A84F6E"/>
    <w:rsid w:val="00A85567"/>
    <w:rsid w:val="00A8596A"/>
    <w:rsid w:val="00A85CC8"/>
    <w:rsid w:val="00A86238"/>
    <w:rsid w:val="00A862E3"/>
    <w:rsid w:val="00A866E5"/>
    <w:rsid w:val="00A87771"/>
    <w:rsid w:val="00A87B62"/>
    <w:rsid w:val="00A90062"/>
    <w:rsid w:val="00A90348"/>
    <w:rsid w:val="00A90987"/>
    <w:rsid w:val="00A90992"/>
    <w:rsid w:val="00A90EAA"/>
    <w:rsid w:val="00A917EA"/>
    <w:rsid w:val="00A91E91"/>
    <w:rsid w:val="00A930DC"/>
    <w:rsid w:val="00A934FF"/>
    <w:rsid w:val="00A9390E"/>
    <w:rsid w:val="00A94237"/>
    <w:rsid w:val="00A94258"/>
    <w:rsid w:val="00A94E22"/>
    <w:rsid w:val="00A95015"/>
    <w:rsid w:val="00A9544A"/>
    <w:rsid w:val="00A95A3D"/>
    <w:rsid w:val="00A95AC4"/>
    <w:rsid w:val="00A9685A"/>
    <w:rsid w:val="00A96B2F"/>
    <w:rsid w:val="00A96EE9"/>
    <w:rsid w:val="00A96F3C"/>
    <w:rsid w:val="00A978C7"/>
    <w:rsid w:val="00A978DC"/>
    <w:rsid w:val="00A97E37"/>
    <w:rsid w:val="00AA0206"/>
    <w:rsid w:val="00AA037A"/>
    <w:rsid w:val="00AA076B"/>
    <w:rsid w:val="00AA1265"/>
    <w:rsid w:val="00AA14A3"/>
    <w:rsid w:val="00AA1947"/>
    <w:rsid w:val="00AA3154"/>
    <w:rsid w:val="00AA31F7"/>
    <w:rsid w:val="00AA3545"/>
    <w:rsid w:val="00AA3BCA"/>
    <w:rsid w:val="00AA3EEA"/>
    <w:rsid w:val="00AA45B0"/>
    <w:rsid w:val="00AA4C25"/>
    <w:rsid w:val="00AA584D"/>
    <w:rsid w:val="00AA6AC3"/>
    <w:rsid w:val="00AA6EC3"/>
    <w:rsid w:val="00AA7B9F"/>
    <w:rsid w:val="00AA7C6E"/>
    <w:rsid w:val="00AA7EAF"/>
    <w:rsid w:val="00AB03C7"/>
    <w:rsid w:val="00AB045C"/>
    <w:rsid w:val="00AB05C9"/>
    <w:rsid w:val="00AB2185"/>
    <w:rsid w:val="00AB2675"/>
    <w:rsid w:val="00AB383F"/>
    <w:rsid w:val="00AB3B72"/>
    <w:rsid w:val="00AB42FC"/>
    <w:rsid w:val="00AB4856"/>
    <w:rsid w:val="00AB4B02"/>
    <w:rsid w:val="00AB4B94"/>
    <w:rsid w:val="00AB51C1"/>
    <w:rsid w:val="00AB5349"/>
    <w:rsid w:val="00AB68C2"/>
    <w:rsid w:val="00AB6EC4"/>
    <w:rsid w:val="00AB7F8A"/>
    <w:rsid w:val="00AC0206"/>
    <w:rsid w:val="00AC0873"/>
    <w:rsid w:val="00AC09FE"/>
    <w:rsid w:val="00AC0B88"/>
    <w:rsid w:val="00AC0FA6"/>
    <w:rsid w:val="00AC1303"/>
    <w:rsid w:val="00AC1750"/>
    <w:rsid w:val="00AC1BD6"/>
    <w:rsid w:val="00AC2089"/>
    <w:rsid w:val="00AC231D"/>
    <w:rsid w:val="00AC2404"/>
    <w:rsid w:val="00AC368D"/>
    <w:rsid w:val="00AC36C5"/>
    <w:rsid w:val="00AC3A80"/>
    <w:rsid w:val="00AC3BC8"/>
    <w:rsid w:val="00AC4014"/>
    <w:rsid w:val="00AC4174"/>
    <w:rsid w:val="00AC45DD"/>
    <w:rsid w:val="00AC486F"/>
    <w:rsid w:val="00AC5286"/>
    <w:rsid w:val="00AC556E"/>
    <w:rsid w:val="00AC5974"/>
    <w:rsid w:val="00AC5F87"/>
    <w:rsid w:val="00AC682C"/>
    <w:rsid w:val="00AC685E"/>
    <w:rsid w:val="00AC7271"/>
    <w:rsid w:val="00AC7315"/>
    <w:rsid w:val="00AC7451"/>
    <w:rsid w:val="00AC7515"/>
    <w:rsid w:val="00AC7620"/>
    <w:rsid w:val="00AC76A7"/>
    <w:rsid w:val="00AC7BBA"/>
    <w:rsid w:val="00AD045F"/>
    <w:rsid w:val="00AD0854"/>
    <w:rsid w:val="00AD13EA"/>
    <w:rsid w:val="00AD191A"/>
    <w:rsid w:val="00AD2766"/>
    <w:rsid w:val="00AD2D1A"/>
    <w:rsid w:val="00AD39F5"/>
    <w:rsid w:val="00AD591D"/>
    <w:rsid w:val="00AD5A4A"/>
    <w:rsid w:val="00AD69BE"/>
    <w:rsid w:val="00AD69C3"/>
    <w:rsid w:val="00AD6AEE"/>
    <w:rsid w:val="00AD7071"/>
    <w:rsid w:val="00AD73D0"/>
    <w:rsid w:val="00AD79B9"/>
    <w:rsid w:val="00AE0468"/>
    <w:rsid w:val="00AE0579"/>
    <w:rsid w:val="00AE1255"/>
    <w:rsid w:val="00AE1496"/>
    <w:rsid w:val="00AE1DFD"/>
    <w:rsid w:val="00AE2209"/>
    <w:rsid w:val="00AE22FA"/>
    <w:rsid w:val="00AE33AF"/>
    <w:rsid w:val="00AE39A2"/>
    <w:rsid w:val="00AE3B40"/>
    <w:rsid w:val="00AE3DC8"/>
    <w:rsid w:val="00AE3FD9"/>
    <w:rsid w:val="00AE409E"/>
    <w:rsid w:val="00AE4BA5"/>
    <w:rsid w:val="00AE5222"/>
    <w:rsid w:val="00AE6BF3"/>
    <w:rsid w:val="00AE6EF1"/>
    <w:rsid w:val="00AE7032"/>
    <w:rsid w:val="00AF0388"/>
    <w:rsid w:val="00AF10A5"/>
    <w:rsid w:val="00AF188F"/>
    <w:rsid w:val="00AF1AF7"/>
    <w:rsid w:val="00AF423A"/>
    <w:rsid w:val="00AF42BB"/>
    <w:rsid w:val="00AF46FD"/>
    <w:rsid w:val="00AF482A"/>
    <w:rsid w:val="00AF5160"/>
    <w:rsid w:val="00AF57F9"/>
    <w:rsid w:val="00AF60D0"/>
    <w:rsid w:val="00AF61C2"/>
    <w:rsid w:val="00AF67DE"/>
    <w:rsid w:val="00AF7300"/>
    <w:rsid w:val="00AF761E"/>
    <w:rsid w:val="00AF7888"/>
    <w:rsid w:val="00AF7ADE"/>
    <w:rsid w:val="00B00688"/>
    <w:rsid w:val="00B0071D"/>
    <w:rsid w:val="00B00B88"/>
    <w:rsid w:val="00B00BC7"/>
    <w:rsid w:val="00B0129B"/>
    <w:rsid w:val="00B012B9"/>
    <w:rsid w:val="00B016F5"/>
    <w:rsid w:val="00B01BC7"/>
    <w:rsid w:val="00B03403"/>
    <w:rsid w:val="00B0347F"/>
    <w:rsid w:val="00B0402F"/>
    <w:rsid w:val="00B04D2B"/>
    <w:rsid w:val="00B05166"/>
    <w:rsid w:val="00B05872"/>
    <w:rsid w:val="00B05890"/>
    <w:rsid w:val="00B061DB"/>
    <w:rsid w:val="00B066AE"/>
    <w:rsid w:val="00B0680A"/>
    <w:rsid w:val="00B0757A"/>
    <w:rsid w:val="00B07A2E"/>
    <w:rsid w:val="00B07FAE"/>
    <w:rsid w:val="00B103AB"/>
    <w:rsid w:val="00B105B5"/>
    <w:rsid w:val="00B10F32"/>
    <w:rsid w:val="00B118B3"/>
    <w:rsid w:val="00B11A8F"/>
    <w:rsid w:val="00B11B3C"/>
    <w:rsid w:val="00B1201B"/>
    <w:rsid w:val="00B12950"/>
    <w:rsid w:val="00B13054"/>
    <w:rsid w:val="00B13603"/>
    <w:rsid w:val="00B13C11"/>
    <w:rsid w:val="00B13DBC"/>
    <w:rsid w:val="00B14CFD"/>
    <w:rsid w:val="00B16D0F"/>
    <w:rsid w:val="00B16DC2"/>
    <w:rsid w:val="00B16FBF"/>
    <w:rsid w:val="00B174B8"/>
    <w:rsid w:val="00B1752A"/>
    <w:rsid w:val="00B176E4"/>
    <w:rsid w:val="00B178AB"/>
    <w:rsid w:val="00B17D74"/>
    <w:rsid w:val="00B17ED8"/>
    <w:rsid w:val="00B20448"/>
    <w:rsid w:val="00B20915"/>
    <w:rsid w:val="00B20C2C"/>
    <w:rsid w:val="00B20D7F"/>
    <w:rsid w:val="00B21325"/>
    <w:rsid w:val="00B22BAB"/>
    <w:rsid w:val="00B22E97"/>
    <w:rsid w:val="00B23987"/>
    <w:rsid w:val="00B23BCD"/>
    <w:rsid w:val="00B2463D"/>
    <w:rsid w:val="00B24C06"/>
    <w:rsid w:val="00B25028"/>
    <w:rsid w:val="00B254DA"/>
    <w:rsid w:val="00B258BC"/>
    <w:rsid w:val="00B258C9"/>
    <w:rsid w:val="00B25C50"/>
    <w:rsid w:val="00B25D54"/>
    <w:rsid w:val="00B25F5F"/>
    <w:rsid w:val="00B260AC"/>
    <w:rsid w:val="00B2674B"/>
    <w:rsid w:val="00B26A61"/>
    <w:rsid w:val="00B26D21"/>
    <w:rsid w:val="00B2711C"/>
    <w:rsid w:val="00B2755C"/>
    <w:rsid w:val="00B27797"/>
    <w:rsid w:val="00B30158"/>
    <w:rsid w:val="00B3024F"/>
    <w:rsid w:val="00B30DD6"/>
    <w:rsid w:val="00B31C4C"/>
    <w:rsid w:val="00B31FB1"/>
    <w:rsid w:val="00B32202"/>
    <w:rsid w:val="00B32261"/>
    <w:rsid w:val="00B33229"/>
    <w:rsid w:val="00B33332"/>
    <w:rsid w:val="00B333E0"/>
    <w:rsid w:val="00B33677"/>
    <w:rsid w:val="00B33F7C"/>
    <w:rsid w:val="00B3417F"/>
    <w:rsid w:val="00B3421B"/>
    <w:rsid w:val="00B345EA"/>
    <w:rsid w:val="00B347EC"/>
    <w:rsid w:val="00B34DAB"/>
    <w:rsid w:val="00B34FCE"/>
    <w:rsid w:val="00B351EF"/>
    <w:rsid w:val="00B35D6A"/>
    <w:rsid w:val="00B3625F"/>
    <w:rsid w:val="00B3649A"/>
    <w:rsid w:val="00B3677B"/>
    <w:rsid w:val="00B368DF"/>
    <w:rsid w:val="00B37037"/>
    <w:rsid w:val="00B37054"/>
    <w:rsid w:val="00B370F1"/>
    <w:rsid w:val="00B37142"/>
    <w:rsid w:val="00B37942"/>
    <w:rsid w:val="00B37E6C"/>
    <w:rsid w:val="00B37EC5"/>
    <w:rsid w:val="00B4195B"/>
    <w:rsid w:val="00B4199F"/>
    <w:rsid w:val="00B41C28"/>
    <w:rsid w:val="00B41D06"/>
    <w:rsid w:val="00B423C7"/>
    <w:rsid w:val="00B42537"/>
    <w:rsid w:val="00B428B1"/>
    <w:rsid w:val="00B42C68"/>
    <w:rsid w:val="00B431E6"/>
    <w:rsid w:val="00B43EF6"/>
    <w:rsid w:val="00B45286"/>
    <w:rsid w:val="00B45744"/>
    <w:rsid w:val="00B45A3F"/>
    <w:rsid w:val="00B45D86"/>
    <w:rsid w:val="00B4615F"/>
    <w:rsid w:val="00B46F24"/>
    <w:rsid w:val="00B47386"/>
    <w:rsid w:val="00B47603"/>
    <w:rsid w:val="00B47C47"/>
    <w:rsid w:val="00B50482"/>
    <w:rsid w:val="00B50ECF"/>
    <w:rsid w:val="00B50F21"/>
    <w:rsid w:val="00B525D8"/>
    <w:rsid w:val="00B52721"/>
    <w:rsid w:val="00B52E41"/>
    <w:rsid w:val="00B52F00"/>
    <w:rsid w:val="00B5300A"/>
    <w:rsid w:val="00B5324C"/>
    <w:rsid w:val="00B5344C"/>
    <w:rsid w:val="00B53B95"/>
    <w:rsid w:val="00B53F83"/>
    <w:rsid w:val="00B548F7"/>
    <w:rsid w:val="00B54B8C"/>
    <w:rsid w:val="00B54C18"/>
    <w:rsid w:val="00B55456"/>
    <w:rsid w:val="00B55A23"/>
    <w:rsid w:val="00B55A64"/>
    <w:rsid w:val="00B565F3"/>
    <w:rsid w:val="00B56B56"/>
    <w:rsid w:val="00B60148"/>
    <w:rsid w:val="00B6046A"/>
    <w:rsid w:val="00B612F2"/>
    <w:rsid w:val="00B61536"/>
    <w:rsid w:val="00B61D71"/>
    <w:rsid w:val="00B62137"/>
    <w:rsid w:val="00B6263E"/>
    <w:rsid w:val="00B62C5D"/>
    <w:rsid w:val="00B62DBD"/>
    <w:rsid w:val="00B634AD"/>
    <w:rsid w:val="00B63642"/>
    <w:rsid w:val="00B64302"/>
    <w:rsid w:val="00B643EB"/>
    <w:rsid w:val="00B64601"/>
    <w:rsid w:val="00B64B4F"/>
    <w:rsid w:val="00B656B7"/>
    <w:rsid w:val="00B65A8C"/>
    <w:rsid w:val="00B665C5"/>
    <w:rsid w:val="00B66A46"/>
    <w:rsid w:val="00B66CD9"/>
    <w:rsid w:val="00B66E0E"/>
    <w:rsid w:val="00B66FAE"/>
    <w:rsid w:val="00B6773B"/>
    <w:rsid w:val="00B6773F"/>
    <w:rsid w:val="00B67FEA"/>
    <w:rsid w:val="00B70526"/>
    <w:rsid w:val="00B7069C"/>
    <w:rsid w:val="00B70B1B"/>
    <w:rsid w:val="00B712DA"/>
    <w:rsid w:val="00B719A4"/>
    <w:rsid w:val="00B71B4E"/>
    <w:rsid w:val="00B72773"/>
    <w:rsid w:val="00B72833"/>
    <w:rsid w:val="00B72A5F"/>
    <w:rsid w:val="00B72EBF"/>
    <w:rsid w:val="00B732D2"/>
    <w:rsid w:val="00B734B8"/>
    <w:rsid w:val="00B73697"/>
    <w:rsid w:val="00B73D3B"/>
    <w:rsid w:val="00B73FB8"/>
    <w:rsid w:val="00B7402F"/>
    <w:rsid w:val="00B74668"/>
    <w:rsid w:val="00B74F0A"/>
    <w:rsid w:val="00B75734"/>
    <w:rsid w:val="00B759B0"/>
    <w:rsid w:val="00B75A55"/>
    <w:rsid w:val="00B75ABA"/>
    <w:rsid w:val="00B76058"/>
    <w:rsid w:val="00B76370"/>
    <w:rsid w:val="00B77764"/>
    <w:rsid w:val="00B77FAA"/>
    <w:rsid w:val="00B80457"/>
    <w:rsid w:val="00B80685"/>
    <w:rsid w:val="00B8141D"/>
    <w:rsid w:val="00B815C5"/>
    <w:rsid w:val="00B81AC6"/>
    <w:rsid w:val="00B81D30"/>
    <w:rsid w:val="00B82EAC"/>
    <w:rsid w:val="00B83DAA"/>
    <w:rsid w:val="00B85E48"/>
    <w:rsid w:val="00B85FC6"/>
    <w:rsid w:val="00B86EEE"/>
    <w:rsid w:val="00B8747D"/>
    <w:rsid w:val="00B87599"/>
    <w:rsid w:val="00B87A73"/>
    <w:rsid w:val="00B90098"/>
    <w:rsid w:val="00B9187D"/>
    <w:rsid w:val="00B91919"/>
    <w:rsid w:val="00B9248D"/>
    <w:rsid w:val="00B94AD4"/>
    <w:rsid w:val="00B9684E"/>
    <w:rsid w:val="00BA0A37"/>
    <w:rsid w:val="00BA0C9E"/>
    <w:rsid w:val="00BA0D9A"/>
    <w:rsid w:val="00BA2B40"/>
    <w:rsid w:val="00BA30BA"/>
    <w:rsid w:val="00BA30F8"/>
    <w:rsid w:val="00BA4B43"/>
    <w:rsid w:val="00BA4BBD"/>
    <w:rsid w:val="00BA4E82"/>
    <w:rsid w:val="00BA511D"/>
    <w:rsid w:val="00BA51B6"/>
    <w:rsid w:val="00BA55A7"/>
    <w:rsid w:val="00BA5773"/>
    <w:rsid w:val="00BA58DC"/>
    <w:rsid w:val="00BA595D"/>
    <w:rsid w:val="00BA6080"/>
    <w:rsid w:val="00BA65BB"/>
    <w:rsid w:val="00BA7455"/>
    <w:rsid w:val="00BA7AFF"/>
    <w:rsid w:val="00BB00BE"/>
    <w:rsid w:val="00BB0692"/>
    <w:rsid w:val="00BB08AC"/>
    <w:rsid w:val="00BB12C3"/>
    <w:rsid w:val="00BB1D04"/>
    <w:rsid w:val="00BB1DBE"/>
    <w:rsid w:val="00BB2000"/>
    <w:rsid w:val="00BB2097"/>
    <w:rsid w:val="00BB4219"/>
    <w:rsid w:val="00BB4DCC"/>
    <w:rsid w:val="00BB4F53"/>
    <w:rsid w:val="00BB5008"/>
    <w:rsid w:val="00BB5103"/>
    <w:rsid w:val="00BB5D19"/>
    <w:rsid w:val="00BB68C1"/>
    <w:rsid w:val="00BB7198"/>
    <w:rsid w:val="00BB7849"/>
    <w:rsid w:val="00BB7DC6"/>
    <w:rsid w:val="00BC0576"/>
    <w:rsid w:val="00BC05D6"/>
    <w:rsid w:val="00BC0EDE"/>
    <w:rsid w:val="00BC0F07"/>
    <w:rsid w:val="00BC0FC6"/>
    <w:rsid w:val="00BC1066"/>
    <w:rsid w:val="00BC1075"/>
    <w:rsid w:val="00BC1ADB"/>
    <w:rsid w:val="00BC1B36"/>
    <w:rsid w:val="00BC1F70"/>
    <w:rsid w:val="00BC1FA0"/>
    <w:rsid w:val="00BC202B"/>
    <w:rsid w:val="00BC22CC"/>
    <w:rsid w:val="00BC2463"/>
    <w:rsid w:val="00BC445A"/>
    <w:rsid w:val="00BC47C7"/>
    <w:rsid w:val="00BC5649"/>
    <w:rsid w:val="00BC57B5"/>
    <w:rsid w:val="00BC5F35"/>
    <w:rsid w:val="00BC6189"/>
    <w:rsid w:val="00BC7139"/>
    <w:rsid w:val="00BD016A"/>
    <w:rsid w:val="00BD0C05"/>
    <w:rsid w:val="00BD0C7B"/>
    <w:rsid w:val="00BD17C5"/>
    <w:rsid w:val="00BD1835"/>
    <w:rsid w:val="00BD188C"/>
    <w:rsid w:val="00BD1C61"/>
    <w:rsid w:val="00BD2081"/>
    <w:rsid w:val="00BD2281"/>
    <w:rsid w:val="00BD2E9B"/>
    <w:rsid w:val="00BD334E"/>
    <w:rsid w:val="00BD380E"/>
    <w:rsid w:val="00BD4774"/>
    <w:rsid w:val="00BD5947"/>
    <w:rsid w:val="00BD5C81"/>
    <w:rsid w:val="00BD5C82"/>
    <w:rsid w:val="00BD6884"/>
    <w:rsid w:val="00BD6AEE"/>
    <w:rsid w:val="00BD6D62"/>
    <w:rsid w:val="00BD7BC1"/>
    <w:rsid w:val="00BD7DC8"/>
    <w:rsid w:val="00BE01CC"/>
    <w:rsid w:val="00BE11BF"/>
    <w:rsid w:val="00BE1829"/>
    <w:rsid w:val="00BE236B"/>
    <w:rsid w:val="00BE293E"/>
    <w:rsid w:val="00BE3444"/>
    <w:rsid w:val="00BE3719"/>
    <w:rsid w:val="00BE39BE"/>
    <w:rsid w:val="00BE3A8F"/>
    <w:rsid w:val="00BE3E40"/>
    <w:rsid w:val="00BE417B"/>
    <w:rsid w:val="00BE54A0"/>
    <w:rsid w:val="00BE571D"/>
    <w:rsid w:val="00BE61D3"/>
    <w:rsid w:val="00BE7795"/>
    <w:rsid w:val="00BF00A7"/>
    <w:rsid w:val="00BF03E4"/>
    <w:rsid w:val="00BF06FF"/>
    <w:rsid w:val="00BF08B2"/>
    <w:rsid w:val="00BF0A01"/>
    <w:rsid w:val="00BF1F20"/>
    <w:rsid w:val="00BF2377"/>
    <w:rsid w:val="00BF239F"/>
    <w:rsid w:val="00BF4404"/>
    <w:rsid w:val="00BF48A5"/>
    <w:rsid w:val="00BF50A9"/>
    <w:rsid w:val="00BF5123"/>
    <w:rsid w:val="00BF533D"/>
    <w:rsid w:val="00BF5497"/>
    <w:rsid w:val="00BF5AAC"/>
    <w:rsid w:val="00BF5BF7"/>
    <w:rsid w:val="00BF5CE2"/>
    <w:rsid w:val="00BF65B5"/>
    <w:rsid w:val="00BF66AE"/>
    <w:rsid w:val="00BF70CF"/>
    <w:rsid w:val="00BF7561"/>
    <w:rsid w:val="00C00048"/>
    <w:rsid w:val="00C004A1"/>
    <w:rsid w:val="00C009EF"/>
    <w:rsid w:val="00C00DB8"/>
    <w:rsid w:val="00C00F46"/>
    <w:rsid w:val="00C01400"/>
    <w:rsid w:val="00C02840"/>
    <w:rsid w:val="00C02D1E"/>
    <w:rsid w:val="00C02E7C"/>
    <w:rsid w:val="00C03A0E"/>
    <w:rsid w:val="00C03D52"/>
    <w:rsid w:val="00C03F24"/>
    <w:rsid w:val="00C05BB0"/>
    <w:rsid w:val="00C061EE"/>
    <w:rsid w:val="00C069A7"/>
    <w:rsid w:val="00C06FAC"/>
    <w:rsid w:val="00C07139"/>
    <w:rsid w:val="00C0762C"/>
    <w:rsid w:val="00C0791E"/>
    <w:rsid w:val="00C103BF"/>
    <w:rsid w:val="00C10BEA"/>
    <w:rsid w:val="00C10D44"/>
    <w:rsid w:val="00C118A2"/>
    <w:rsid w:val="00C12127"/>
    <w:rsid w:val="00C134AE"/>
    <w:rsid w:val="00C13E4B"/>
    <w:rsid w:val="00C140E8"/>
    <w:rsid w:val="00C14278"/>
    <w:rsid w:val="00C144D4"/>
    <w:rsid w:val="00C158AF"/>
    <w:rsid w:val="00C15991"/>
    <w:rsid w:val="00C15A61"/>
    <w:rsid w:val="00C16EA7"/>
    <w:rsid w:val="00C170F3"/>
    <w:rsid w:val="00C17F08"/>
    <w:rsid w:val="00C2026D"/>
    <w:rsid w:val="00C20360"/>
    <w:rsid w:val="00C20535"/>
    <w:rsid w:val="00C2173A"/>
    <w:rsid w:val="00C21D30"/>
    <w:rsid w:val="00C2305B"/>
    <w:rsid w:val="00C230EE"/>
    <w:rsid w:val="00C23B81"/>
    <w:rsid w:val="00C23DE8"/>
    <w:rsid w:val="00C24306"/>
    <w:rsid w:val="00C2477F"/>
    <w:rsid w:val="00C24D28"/>
    <w:rsid w:val="00C2547D"/>
    <w:rsid w:val="00C26AA1"/>
    <w:rsid w:val="00C27C40"/>
    <w:rsid w:val="00C30088"/>
    <w:rsid w:val="00C309DF"/>
    <w:rsid w:val="00C30AB0"/>
    <w:rsid w:val="00C30B18"/>
    <w:rsid w:val="00C30D57"/>
    <w:rsid w:val="00C31134"/>
    <w:rsid w:val="00C31588"/>
    <w:rsid w:val="00C31C26"/>
    <w:rsid w:val="00C32AAD"/>
    <w:rsid w:val="00C335E6"/>
    <w:rsid w:val="00C344D1"/>
    <w:rsid w:val="00C34789"/>
    <w:rsid w:val="00C34840"/>
    <w:rsid w:val="00C34D9F"/>
    <w:rsid w:val="00C350B1"/>
    <w:rsid w:val="00C3557C"/>
    <w:rsid w:val="00C35A7D"/>
    <w:rsid w:val="00C35AC5"/>
    <w:rsid w:val="00C35BF3"/>
    <w:rsid w:val="00C35EFA"/>
    <w:rsid w:val="00C3622C"/>
    <w:rsid w:val="00C36332"/>
    <w:rsid w:val="00C36AAA"/>
    <w:rsid w:val="00C36CCE"/>
    <w:rsid w:val="00C36CFE"/>
    <w:rsid w:val="00C37096"/>
    <w:rsid w:val="00C3736B"/>
    <w:rsid w:val="00C37F79"/>
    <w:rsid w:val="00C40398"/>
    <w:rsid w:val="00C407E3"/>
    <w:rsid w:val="00C40D5D"/>
    <w:rsid w:val="00C40DCD"/>
    <w:rsid w:val="00C40DF4"/>
    <w:rsid w:val="00C4162F"/>
    <w:rsid w:val="00C416E7"/>
    <w:rsid w:val="00C41BBC"/>
    <w:rsid w:val="00C41E2B"/>
    <w:rsid w:val="00C42D4A"/>
    <w:rsid w:val="00C4334B"/>
    <w:rsid w:val="00C434E9"/>
    <w:rsid w:val="00C43E3D"/>
    <w:rsid w:val="00C44390"/>
    <w:rsid w:val="00C44800"/>
    <w:rsid w:val="00C4491B"/>
    <w:rsid w:val="00C4617C"/>
    <w:rsid w:val="00C462E3"/>
    <w:rsid w:val="00C4644A"/>
    <w:rsid w:val="00C465D4"/>
    <w:rsid w:val="00C46601"/>
    <w:rsid w:val="00C4764A"/>
    <w:rsid w:val="00C476E8"/>
    <w:rsid w:val="00C510A1"/>
    <w:rsid w:val="00C512AA"/>
    <w:rsid w:val="00C516E1"/>
    <w:rsid w:val="00C52217"/>
    <w:rsid w:val="00C52AAB"/>
    <w:rsid w:val="00C53286"/>
    <w:rsid w:val="00C5342D"/>
    <w:rsid w:val="00C534C2"/>
    <w:rsid w:val="00C5390C"/>
    <w:rsid w:val="00C54103"/>
    <w:rsid w:val="00C54BF3"/>
    <w:rsid w:val="00C56073"/>
    <w:rsid w:val="00C6113C"/>
    <w:rsid w:val="00C611AB"/>
    <w:rsid w:val="00C61304"/>
    <w:rsid w:val="00C61471"/>
    <w:rsid w:val="00C61697"/>
    <w:rsid w:val="00C61C19"/>
    <w:rsid w:val="00C633B7"/>
    <w:rsid w:val="00C636EC"/>
    <w:rsid w:val="00C6370B"/>
    <w:rsid w:val="00C63B26"/>
    <w:rsid w:val="00C63D01"/>
    <w:rsid w:val="00C63F33"/>
    <w:rsid w:val="00C643A5"/>
    <w:rsid w:val="00C643E5"/>
    <w:rsid w:val="00C65454"/>
    <w:rsid w:val="00C6716E"/>
    <w:rsid w:val="00C6726A"/>
    <w:rsid w:val="00C6765C"/>
    <w:rsid w:val="00C67B41"/>
    <w:rsid w:val="00C70128"/>
    <w:rsid w:val="00C70AD4"/>
    <w:rsid w:val="00C70DD9"/>
    <w:rsid w:val="00C71018"/>
    <w:rsid w:val="00C71B1A"/>
    <w:rsid w:val="00C71E9F"/>
    <w:rsid w:val="00C720F3"/>
    <w:rsid w:val="00C72722"/>
    <w:rsid w:val="00C732F2"/>
    <w:rsid w:val="00C735A1"/>
    <w:rsid w:val="00C7377E"/>
    <w:rsid w:val="00C73D98"/>
    <w:rsid w:val="00C73F97"/>
    <w:rsid w:val="00C7409C"/>
    <w:rsid w:val="00C75142"/>
    <w:rsid w:val="00C7539E"/>
    <w:rsid w:val="00C7634C"/>
    <w:rsid w:val="00C76799"/>
    <w:rsid w:val="00C76EAD"/>
    <w:rsid w:val="00C77E20"/>
    <w:rsid w:val="00C8016E"/>
    <w:rsid w:val="00C811ED"/>
    <w:rsid w:val="00C816C4"/>
    <w:rsid w:val="00C81885"/>
    <w:rsid w:val="00C81CC3"/>
    <w:rsid w:val="00C823B1"/>
    <w:rsid w:val="00C82557"/>
    <w:rsid w:val="00C82B84"/>
    <w:rsid w:val="00C82FA2"/>
    <w:rsid w:val="00C83CBC"/>
    <w:rsid w:val="00C83D41"/>
    <w:rsid w:val="00C83D95"/>
    <w:rsid w:val="00C8401E"/>
    <w:rsid w:val="00C84507"/>
    <w:rsid w:val="00C85BE6"/>
    <w:rsid w:val="00C85EDD"/>
    <w:rsid w:val="00C878FF"/>
    <w:rsid w:val="00C90AD1"/>
    <w:rsid w:val="00C90E6B"/>
    <w:rsid w:val="00C91312"/>
    <w:rsid w:val="00C915AD"/>
    <w:rsid w:val="00C918A3"/>
    <w:rsid w:val="00C91A7E"/>
    <w:rsid w:val="00C91B12"/>
    <w:rsid w:val="00C91BA1"/>
    <w:rsid w:val="00C91E63"/>
    <w:rsid w:val="00C92A76"/>
    <w:rsid w:val="00C930C1"/>
    <w:rsid w:val="00C935DF"/>
    <w:rsid w:val="00C94D82"/>
    <w:rsid w:val="00C953DF"/>
    <w:rsid w:val="00C956F7"/>
    <w:rsid w:val="00C95951"/>
    <w:rsid w:val="00C95BFC"/>
    <w:rsid w:val="00C9605B"/>
    <w:rsid w:val="00C9637C"/>
    <w:rsid w:val="00C967A4"/>
    <w:rsid w:val="00C96BF6"/>
    <w:rsid w:val="00C970E5"/>
    <w:rsid w:val="00C976E9"/>
    <w:rsid w:val="00C97F37"/>
    <w:rsid w:val="00CA0443"/>
    <w:rsid w:val="00CA0813"/>
    <w:rsid w:val="00CA08C6"/>
    <w:rsid w:val="00CA095F"/>
    <w:rsid w:val="00CA1229"/>
    <w:rsid w:val="00CA1875"/>
    <w:rsid w:val="00CA1D49"/>
    <w:rsid w:val="00CA2E3A"/>
    <w:rsid w:val="00CA31FE"/>
    <w:rsid w:val="00CA3A1E"/>
    <w:rsid w:val="00CA3AD2"/>
    <w:rsid w:val="00CA4738"/>
    <w:rsid w:val="00CA49B5"/>
    <w:rsid w:val="00CA4B4C"/>
    <w:rsid w:val="00CA4E15"/>
    <w:rsid w:val="00CA5091"/>
    <w:rsid w:val="00CA553A"/>
    <w:rsid w:val="00CA5649"/>
    <w:rsid w:val="00CA5C86"/>
    <w:rsid w:val="00CA5E24"/>
    <w:rsid w:val="00CA6086"/>
    <w:rsid w:val="00CA6222"/>
    <w:rsid w:val="00CA68C3"/>
    <w:rsid w:val="00CA6952"/>
    <w:rsid w:val="00CB0FED"/>
    <w:rsid w:val="00CB15FF"/>
    <w:rsid w:val="00CB1783"/>
    <w:rsid w:val="00CB1F94"/>
    <w:rsid w:val="00CB2283"/>
    <w:rsid w:val="00CB3262"/>
    <w:rsid w:val="00CB3463"/>
    <w:rsid w:val="00CB37D6"/>
    <w:rsid w:val="00CB3EA8"/>
    <w:rsid w:val="00CB4458"/>
    <w:rsid w:val="00CB4CD5"/>
    <w:rsid w:val="00CB57E7"/>
    <w:rsid w:val="00CB6381"/>
    <w:rsid w:val="00CB65E2"/>
    <w:rsid w:val="00CB6B6C"/>
    <w:rsid w:val="00CB708D"/>
    <w:rsid w:val="00CB7C17"/>
    <w:rsid w:val="00CB7D8D"/>
    <w:rsid w:val="00CC0D59"/>
    <w:rsid w:val="00CC18F7"/>
    <w:rsid w:val="00CC1E37"/>
    <w:rsid w:val="00CC275D"/>
    <w:rsid w:val="00CC348E"/>
    <w:rsid w:val="00CC38DE"/>
    <w:rsid w:val="00CC39DE"/>
    <w:rsid w:val="00CC3B46"/>
    <w:rsid w:val="00CC3B80"/>
    <w:rsid w:val="00CC4071"/>
    <w:rsid w:val="00CC4948"/>
    <w:rsid w:val="00CC5507"/>
    <w:rsid w:val="00CC5F17"/>
    <w:rsid w:val="00CC620E"/>
    <w:rsid w:val="00CC78AC"/>
    <w:rsid w:val="00CD0026"/>
    <w:rsid w:val="00CD0093"/>
    <w:rsid w:val="00CD03D7"/>
    <w:rsid w:val="00CD04E8"/>
    <w:rsid w:val="00CD1E8E"/>
    <w:rsid w:val="00CD1F6E"/>
    <w:rsid w:val="00CD1FE5"/>
    <w:rsid w:val="00CD2048"/>
    <w:rsid w:val="00CD3D0C"/>
    <w:rsid w:val="00CD4769"/>
    <w:rsid w:val="00CD51F7"/>
    <w:rsid w:val="00CD5288"/>
    <w:rsid w:val="00CD6C25"/>
    <w:rsid w:val="00CD6DBF"/>
    <w:rsid w:val="00CD7071"/>
    <w:rsid w:val="00CD7072"/>
    <w:rsid w:val="00CD75F5"/>
    <w:rsid w:val="00CD76E4"/>
    <w:rsid w:val="00CE06B5"/>
    <w:rsid w:val="00CE0A2E"/>
    <w:rsid w:val="00CE0C82"/>
    <w:rsid w:val="00CE10B0"/>
    <w:rsid w:val="00CE16CA"/>
    <w:rsid w:val="00CE1879"/>
    <w:rsid w:val="00CE1BD0"/>
    <w:rsid w:val="00CE1D98"/>
    <w:rsid w:val="00CE2DBD"/>
    <w:rsid w:val="00CE3587"/>
    <w:rsid w:val="00CE4174"/>
    <w:rsid w:val="00CE4544"/>
    <w:rsid w:val="00CE47DC"/>
    <w:rsid w:val="00CE47DF"/>
    <w:rsid w:val="00CE4D22"/>
    <w:rsid w:val="00CE4ECC"/>
    <w:rsid w:val="00CE56BE"/>
    <w:rsid w:val="00CE5807"/>
    <w:rsid w:val="00CE5F2F"/>
    <w:rsid w:val="00CE6311"/>
    <w:rsid w:val="00CE6411"/>
    <w:rsid w:val="00CE6D50"/>
    <w:rsid w:val="00CE7473"/>
    <w:rsid w:val="00CE7571"/>
    <w:rsid w:val="00CF039E"/>
    <w:rsid w:val="00CF270B"/>
    <w:rsid w:val="00CF2EFA"/>
    <w:rsid w:val="00CF38A4"/>
    <w:rsid w:val="00CF3B51"/>
    <w:rsid w:val="00CF506D"/>
    <w:rsid w:val="00CF516B"/>
    <w:rsid w:val="00CF718A"/>
    <w:rsid w:val="00CF72CC"/>
    <w:rsid w:val="00CF74ED"/>
    <w:rsid w:val="00CF7C8A"/>
    <w:rsid w:val="00D01B4C"/>
    <w:rsid w:val="00D020CF"/>
    <w:rsid w:val="00D02332"/>
    <w:rsid w:val="00D027EA"/>
    <w:rsid w:val="00D02B17"/>
    <w:rsid w:val="00D0300E"/>
    <w:rsid w:val="00D034B7"/>
    <w:rsid w:val="00D035AD"/>
    <w:rsid w:val="00D0384B"/>
    <w:rsid w:val="00D03B6E"/>
    <w:rsid w:val="00D048FC"/>
    <w:rsid w:val="00D0549C"/>
    <w:rsid w:val="00D05619"/>
    <w:rsid w:val="00D05A5E"/>
    <w:rsid w:val="00D05B77"/>
    <w:rsid w:val="00D060CF"/>
    <w:rsid w:val="00D06757"/>
    <w:rsid w:val="00D06810"/>
    <w:rsid w:val="00D06C1A"/>
    <w:rsid w:val="00D07866"/>
    <w:rsid w:val="00D07914"/>
    <w:rsid w:val="00D07E58"/>
    <w:rsid w:val="00D10184"/>
    <w:rsid w:val="00D104FD"/>
    <w:rsid w:val="00D1077E"/>
    <w:rsid w:val="00D1084B"/>
    <w:rsid w:val="00D10F32"/>
    <w:rsid w:val="00D11328"/>
    <w:rsid w:val="00D113FA"/>
    <w:rsid w:val="00D120B2"/>
    <w:rsid w:val="00D12612"/>
    <w:rsid w:val="00D12B02"/>
    <w:rsid w:val="00D12D46"/>
    <w:rsid w:val="00D143BF"/>
    <w:rsid w:val="00D1449D"/>
    <w:rsid w:val="00D14AB1"/>
    <w:rsid w:val="00D156C3"/>
    <w:rsid w:val="00D16D0F"/>
    <w:rsid w:val="00D178EE"/>
    <w:rsid w:val="00D20353"/>
    <w:rsid w:val="00D20D31"/>
    <w:rsid w:val="00D20D4F"/>
    <w:rsid w:val="00D2104A"/>
    <w:rsid w:val="00D21445"/>
    <w:rsid w:val="00D219D1"/>
    <w:rsid w:val="00D219DA"/>
    <w:rsid w:val="00D224C1"/>
    <w:rsid w:val="00D22836"/>
    <w:rsid w:val="00D2284F"/>
    <w:rsid w:val="00D2307A"/>
    <w:rsid w:val="00D241F1"/>
    <w:rsid w:val="00D24850"/>
    <w:rsid w:val="00D248B9"/>
    <w:rsid w:val="00D24A3E"/>
    <w:rsid w:val="00D24B4A"/>
    <w:rsid w:val="00D25198"/>
    <w:rsid w:val="00D25275"/>
    <w:rsid w:val="00D256FC"/>
    <w:rsid w:val="00D25953"/>
    <w:rsid w:val="00D259D2"/>
    <w:rsid w:val="00D259FD"/>
    <w:rsid w:val="00D268D4"/>
    <w:rsid w:val="00D26992"/>
    <w:rsid w:val="00D26A9A"/>
    <w:rsid w:val="00D26EFB"/>
    <w:rsid w:val="00D26F08"/>
    <w:rsid w:val="00D27D4A"/>
    <w:rsid w:val="00D300E5"/>
    <w:rsid w:val="00D3040E"/>
    <w:rsid w:val="00D30675"/>
    <w:rsid w:val="00D30DC7"/>
    <w:rsid w:val="00D3199E"/>
    <w:rsid w:val="00D31B15"/>
    <w:rsid w:val="00D31FE2"/>
    <w:rsid w:val="00D328A9"/>
    <w:rsid w:val="00D32A7C"/>
    <w:rsid w:val="00D32D30"/>
    <w:rsid w:val="00D32E68"/>
    <w:rsid w:val="00D3362B"/>
    <w:rsid w:val="00D33694"/>
    <w:rsid w:val="00D3374F"/>
    <w:rsid w:val="00D337F8"/>
    <w:rsid w:val="00D3381C"/>
    <w:rsid w:val="00D3443E"/>
    <w:rsid w:val="00D34771"/>
    <w:rsid w:val="00D348DB"/>
    <w:rsid w:val="00D35649"/>
    <w:rsid w:val="00D358B7"/>
    <w:rsid w:val="00D35A8D"/>
    <w:rsid w:val="00D3684C"/>
    <w:rsid w:val="00D36961"/>
    <w:rsid w:val="00D36EEC"/>
    <w:rsid w:val="00D3723C"/>
    <w:rsid w:val="00D37AD0"/>
    <w:rsid w:val="00D37C78"/>
    <w:rsid w:val="00D40522"/>
    <w:rsid w:val="00D40D85"/>
    <w:rsid w:val="00D40E55"/>
    <w:rsid w:val="00D41139"/>
    <w:rsid w:val="00D41144"/>
    <w:rsid w:val="00D412AD"/>
    <w:rsid w:val="00D418A9"/>
    <w:rsid w:val="00D41B12"/>
    <w:rsid w:val="00D41CB7"/>
    <w:rsid w:val="00D42027"/>
    <w:rsid w:val="00D42141"/>
    <w:rsid w:val="00D421F3"/>
    <w:rsid w:val="00D42358"/>
    <w:rsid w:val="00D433A5"/>
    <w:rsid w:val="00D433E8"/>
    <w:rsid w:val="00D439CA"/>
    <w:rsid w:val="00D448CA"/>
    <w:rsid w:val="00D44BB7"/>
    <w:rsid w:val="00D4524F"/>
    <w:rsid w:val="00D45735"/>
    <w:rsid w:val="00D45F6E"/>
    <w:rsid w:val="00D46732"/>
    <w:rsid w:val="00D47773"/>
    <w:rsid w:val="00D47ACD"/>
    <w:rsid w:val="00D47BA5"/>
    <w:rsid w:val="00D504F9"/>
    <w:rsid w:val="00D505F3"/>
    <w:rsid w:val="00D507BA"/>
    <w:rsid w:val="00D50960"/>
    <w:rsid w:val="00D511A6"/>
    <w:rsid w:val="00D5127F"/>
    <w:rsid w:val="00D514F9"/>
    <w:rsid w:val="00D51C83"/>
    <w:rsid w:val="00D5203A"/>
    <w:rsid w:val="00D52379"/>
    <w:rsid w:val="00D52569"/>
    <w:rsid w:val="00D52676"/>
    <w:rsid w:val="00D5267F"/>
    <w:rsid w:val="00D52B7F"/>
    <w:rsid w:val="00D52D5B"/>
    <w:rsid w:val="00D53155"/>
    <w:rsid w:val="00D53E5E"/>
    <w:rsid w:val="00D543E5"/>
    <w:rsid w:val="00D5472C"/>
    <w:rsid w:val="00D54D76"/>
    <w:rsid w:val="00D55B01"/>
    <w:rsid w:val="00D56D6E"/>
    <w:rsid w:val="00D57AE2"/>
    <w:rsid w:val="00D57E83"/>
    <w:rsid w:val="00D57F91"/>
    <w:rsid w:val="00D601F3"/>
    <w:rsid w:val="00D605D3"/>
    <w:rsid w:val="00D60940"/>
    <w:rsid w:val="00D609E8"/>
    <w:rsid w:val="00D6162C"/>
    <w:rsid w:val="00D61BF2"/>
    <w:rsid w:val="00D61EDE"/>
    <w:rsid w:val="00D62C9F"/>
    <w:rsid w:val="00D632A9"/>
    <w:rsid w:val="00D634F6"/>
    <w:rsid w:val="00D637BD"/>
    <w:rsid w:val="00D638B0"/>
    <w:rsid w:val="00D63FF4"/>
    <w:rsid w:val="00D6489B"/>
    <w:rsid w:val="00D64A94"/>
    <w:rsid w:val="00D6635A"/>
    <w:rsid w:val="00D6669F"/>
    <w:rsid w:val="00D668B9"/>
    <w:rsid w:val="00D66BE6"/>
    <w:rsid w:val="00D66DE6"/>
    <w:rsid w:val="00D67B4A"/>
    <w:rsid w:val="00D67C61"/>
    <w:rsid w:val="00D717D5"/>
    <w:rsid w:val="00D71B3A"/>
    <w:rsid w:val="00D72325"/>
    <w:rsid w:val="00D723AA"/>
    <w:rsid w:val="00D73040"/>
    <w:rsid w:val="00D73286"/>
    <w:rsid w:val="00D73328"/>
    <w:rsid w:val="00D73584"/>
    <w:rsid w:val="00D737DC"/>
    <w:rsid w:val="00D73B61"/>
    <w:rsid w:val="00D73C24"/>
    <w:rsid w:val="00D74865"/>
    <w:rsid w:val="00D74AC4"/>
    <w:rsid w:val="00D752AC"/>
    <w:rsid w:val="00D753A8"/>
    <w:rsid w:val="00D7572A"/>
    <w:rsid w:val="00D7591D"/>
    <w:rsid w:val="00D76E84"/>
    <w:rsid w:val="00D77D97"/>
    <w:rsid w:val="00D77F3C"/>
    <w:rsid w:val="00D811EA"/>
    <w:rsid w:val="00D82726"/>
    <w:rsid w:val="00D8290B"/>
    <w:rsid w:val="00D8299E"/>
    <w:rsid w:val="00D82FB8"/>
    <w:rsid w:val="00D83ACE"/>
    <w:rsid w:val="00D84073"/>
    <w:rsid w:val="00D84308"/>
    <w:rsid w:val="00D845C0"/>
    <w:rsid w:val="00D849F3"/>
    <w:rsid w:val="00D84C35"/>
    <w:rsid w:val="00D85D1A"/>
    <w:rsid w:val="00D86552"/>
    <w:rsid w:val="00D86C5D"/>
    <w:rsid w:val="00D87397"/>
    <w:rsid w:val="00D87587"/>
    <w:rsid w:val="00D90339"/>
    <w:rsid w:val="00D90CBD"/>
    <w:rsid w:val="00D90DE2"/>
    <w:rsid w:val="00D91240"/>
    <w:rsid w:val="00D91442"/>
    <w:rsid w:val="00D9191B"/>
    <w:rsid w:val="00D923C8"/>
    <w:rsid w:val="00D92941"/>
    <w:rsid w:val="00D92A64"/>
    <w:rsid w:val="00D92F9D"/>
    <w:rsid w:val="00D934D7"/>
    <w:rsid w:val="00D9443B"/>
    <w:rsid w:val="00D95557"/>
    <w:rsid w:val="00D96047"/>
    <w:rsid w:val="00D96423"/>
    <w:rsid w:val="00D9665A"/>
    <w:rsid w:val="00D968C7"/>
    <w:rsid w:val="00D97822"/>
    <w:rsid w:val="00DA0986"/>
    <w:rsid w:val="00DA0E8D"/>
    <w:rsid w:val="00DA1388"/>
    <w:rsid w:val="00DA1EC8"/>
    <w:rsid w:val="00DA241B"/>
    <w:rsid w:val="00DA2DB6"/>
    <w:rsid w:val="00DA30F3"/>
    <w:rsid w:val="00DA3511"/>
    <w:rsid w:val="00DA36AD"/>
    <w:rsid w:val="00DA37F4"/>
    <w:rsid w:val="00DA3839"/>
    <w:rsid w:val="00DA40B9"/>
    <w:rsid w:val="00DA45AC"/>
    <w:rsid w:val="00DA47E2"/>
    <w:rsid w:val="00DA578D"/>
    <w:rsid w:val="00DA5911"/>
    <w:rsid w:val="00DB06D6"/>
    <w:rsid w:val="00DB0A54"/>
    <w:rsid w:val="00DB0E7C"/>
    <w:rsid w:val="00DB1B87"/>
    <w:rsid w:val="00DB276A"/>
    <w:rsid w:val="00DB2D7A"/>
    <w:rsid w:val="00DB3728"/>
    <w:rsid w:val="00DB3963"/>
    <w:rsid w:val="00DB3968"/>
    <w:rsid w:val="00DB3E30"/>
    <w:rsid w:val="00DB49F1"/>
    <w:rsid w:val="00DB4AAF"/>
    <w:rsid w:val="00DB508A"/>
    <w:rsid w:val="00DB5A22"/>
    <w:rsid w:val="00DB7AAB"/>
    <w:rsid w:val="00DB7DBD"/>
    <w:rsid w:val="00DB7E98"/>
    <w:rsid w:val="00DB7EC7"/>
    <w:rsid w:val="00DC0100"/>
    <w:rsid w:val="00DC0D44"/>
    <w:rsid w:val="00DC190B"/>
    <w:rsid w:val="00DC1B66"/>
    <w:rsid w:val="00DC1C42"/>
    <w:rsid w:val="00DC1D99"/>
    <w:rsid w:val="00DC1DC8"/>
    <w:rsid w:val="00DC1FD2"/>
    <w:rsid w:val="00DC24AB"/>
    <w:rsid w:val="00DC26C7"/>
    <w:rsid w:val="00DC29D3"/>
    <w:rsid w:val="00DC2A29"/>
    <w:rsid w:val="00DC2C56"/>
    <w:rsid w:val="00DC2DFD"/>
    <w:rsid w:val="00DC3453"/>
    <w:rsid w:val="00DC3475"/>
    <w:rsid w:val="00DC4176"/>
    <w:rsid w:val="00DC5172"/>
    <w:rsid w:val="00DC5338"/>
    <w:rsid w:val="00DC5590"/>
    <w:rsid w:val="00DC651B"/>
    <w:rsid w:val="00DC6A4F"/>
    <w:rsid w:val="00DD03A2"/>
    <w:rsid w:val="00DD03B5"/>
    <w:rsid w:val="00DD07E5"/>
    <w:rsid w:val="00DD0851"/>
    <w:rsid w:val="00DD0F33"/>
    <w:rsid w:val="00DD0F56"/>
    <w:rsid w:val="00DD17FA"/>
    <w:rsid w:val="00DD27BD"/>
    <w:rsid w:val="00DD2FE2"/>
    <w:rsid w:val="00DD322C"/>
    <w:rsid w:val="00DD371C"/>
    <w:rsid w:val="00DD43F1"/>
    <w:rsid w:val="00DD466B"/>
    <w:rsid w:val="00DD489A"/>
    <w:rsid w:val="00DD4A64"/>
    <w:rsid w:val="00DD521D"/>
    <w:rsid w:val="00DD5552"/>
    <w:rsid w:val="00DD61FC"/>
    <w:rsid w:val="00DD6205"/>
    <w:rsid w:val="00DD63CB"/>
    <w:rsid w:val="00DD66D8"/>
    <w:rsid w:val="00DD732A"/>
    <w:rsid w:val="00DD76A2"/>
    <w:rsid w:val="00DE0B03"/>
    <w:rsid w:val="00DE0BBB"/>
    <w:rsid w:val="00DE0BE8"/>
    <w:rsid w:val="00DE11A8"/>
    <w:rsid w:val="00DE169F"/>
    <w:rsid w:val="00DE1B16"/>
    <w:rsid w:val="00DE1DA3"/>
    <w:rsid w:val="00DE2072"/>
    <w:rsid w:val="00DE2E00"/>
    <w:rsid w:val="00DE38FC"/>
    <w:rsid w:val="00DE3B27"/>
    <w:rsid w:val="00DE3DC4"/>
    <w:rsid w:val="00DE3EE6"/>
    <w:rsid w:val="00DE4508"/>
    <w:rsid w:val="00DE5114"/>
    <w:rsid w:val="00DE521D"/>
    <w:rsid w:val="00DE527F"/>
    <w:rsid w:val="00DE7963"/>
    <w:rsid w:val="00DE7BA2"/>
    <w:rsid w:val="00DE7C4F"/>
    <w:rsid w:val="00DF0064"/>
    <w:rsid w:val="00DF0F5E"/>
    <w:rsid w:val="00DF12F4"/>
    <w:rsid w:val="00DF1AC9"/>
    <w:rsid w:val="00DF1AED"/>
    <w:rsid w:val="00DF1B08"/>
    <w:rsid w:val="00DF1D82"/>
    <w:rsid w:val="00DF1F69"/>
    <w:rsid w:val="00DF219F"/>
    <w:rsid w:val="00DF26BA"/>
    <w:rsid w:val="00DF3037"/>
    <w:rsid w:val="00DF312B"/>
    <w:rsid w:val="00DF369F"/>
    <w:rsid w:val="00DF390D"/>
    <w:rsid w:val="00DF480B"/>
    <w:rsid w:val="00DF5395"/>
    <w:rsid w:val="00DF53C5"/>
    <w:rsid w:val="00DF5ABE"/>
    <w:rsid w:val="00DF5B18"/>
    <w:rsid w:val="00DF5C1A"/>
    <w:rsid w:val="00DF6146"/>
    <w:rsid w:val="00DF6580"/>
    <w:rsid w:val="00DF6CC9"/>
    <w:rsid w:val="00DF6D67"/>
    <w:rsid w:val="00DF7931"/>
    <w:rsid w:val="00DF7D71"/>
    <w:rsid w:val="00E00FF1"/>
    <w:rsid w:val="00E015B2"/>
    <w:rsid w:val="00E01EA0"/>
    <w:rsid w:val="00E02433"/>
    <w:rsid w:val="00E02490"/>
    <w:rsid w:val="00E02B58"/>
    <w:rsid w:val="00E02B65"/>
    <w:rsid w:val="00E0341F"/>
    <w:rsid w:val="00E039AF"/>
    <w:rsid w:val="00E03A82"/>
    <w:rsid w:val="00E04776"/>
    <w:rsid w:val="00E0478E"/>
    <w:rsid w:val="00E047F3"/>
    <w:rsid w:val="00E04AC7"/>
    <w:rsid w:val="00E04FBA"/>
    <w:rsid w:val="00E050FE"/>
    <w:rsid w:val="00E05207"/>
    <w:rsid w:val="00E053F7"/>
    <w:rsid w:val="00E05BAB"/>
    <w:rsid w:val="00E069AC"/>
    <w:rsid w:val="00E06F67"/>
    <w:rsid w:val="00E07094"/>
    <w:rsid w:val="00E07B0D"/>
    <w:rsid w:val="00E07C96"/>
    <w:rsid w:val="00E100C6"/>
    <w:rsid w:val="00E1019F"/>
    <w:rsid w:val="00E104DA"/>
    <w:rsid w:val="00E106C1"/>
    <w:rsid w:val="00E10F3D"/>
    <w:rsid w:val="00E1150F"/>
    <w:rsid w:val="00E121A6"/>
    <w:rsid w:val="00E13A34"/>
    <w:rsid w:val="00E13F61"/>
    <w:rsid w:val="00E144B3"/>
    <w:rsid w:val="00E14E15"/>
    <w:rsid w:val="00E15670"/>
    <w:rsid w:val="00E15805"/>
    <w:rsid w:val="00E165F1"/>
    <w:rsid w:val="00E16876"/>
    <w:rsid w:val="00E1689A"/>
    <w:rsid w:val="00E16E8E"/>
    <w:rsid w:val="00E17BF6"/>
    <w:rsid w:val="00E204E2"/>
    <w:rsid w:val="00E20A5A"/>
    <w:rsid w:val="00E20E83"/>
    <w:rsid w:val="00E212AD"/>
    <w:rsid w:val="00E2169B"/>
    <w:rsid w:val="00E216E5"/>
    <w:rsid w:val="00E21978"/>
    <w:rsid w:val="00E21D9A"/>
    <w:rsid w:val="00E223AF"/>
    <w:rsid w:val="00E22A35"/>
    <w:rsid w:val="00E22C41"/>
    <w:rsid w:val="00E2405A"/>
    <w:rsid w:val="00E24258"/>
    <w:rsid w:val="00E242E9"/>
    <w:rsid w:val="00E2467A"/>
    <w:rsid w:val="00E255A9"/>
    <w:rsid w:val="00E256B0"/>
    <w:rsid w:val="00E25C00"/>
    <w:rsid w:val="00E2605A"/>
    <w:rsid w:val="00E26511"/>
    <w:rsid w:val="00E26C73"/>
    <w:rsid w:val="00E26F7B"/>
    <w:rsid w:val="00E27115"/>
    <w:rsid w:val="00E27244"/>
    <w:rsid w:val="00E27438"/>
    <w:rsid w:val="00E30709"/>
    <w:rsid w:val="00E30BE0"/>
    <w:rsid w:val="00E30BFF"/>
    <w:rsid w:val="00E31183"/>
    <w:rsid w:val="00E31DE5"/>
    <w:rsid w:val="00E3224C"/>
    <w:rsid w:val="00E323D9"/>
    <w:rsid w:val="00E3264B"/>
    <w:rsid w:val="00E32C47"/>
    <w:rsid w:val="00E32DE7"/>
    <w:rsid w:val="00E32F9B"/>
    <w:rsid w:val="00E330B0"/>
    <w:rsid w:val="00E330B8"/>
    <w:rsid w:val="00E3383D"/>
    <w:rsid w:val="00E33E11"/>
    <w:rsid w:val="00E344DC"/>
    <w:rsid w:val="00E345C7"/>
    <w:rsid w:val="00E348D1"/>
    <w:rsid w:val="00E34BE1"/>
    <w:rsid w:val="00E3533F"/>
    <w:rsid w:val="00E353EA"/>
    <w:rsid w:val="00E356D3"/>
    <w:rsid w:val="00E35AED"/>
    <w:rsid w:val="00E35C93"/>
    <w:rsid w:val="00E36101"/>
    <w:rsid w:val="00E36801"/>
    <w:rsid w:val="00E36901"/>
    <w:rsid w:val="00E36B87"/>
    <w:rsid w:val="00E36D04"/>
    <w:rsid w:val="00E36F10"/>
    <w:rsid w:val="00E374BF"/>
    <w:rsid w:val="00E37DE8"/>
    <w:rsid w:val="00E40BED"/>
    <w:rsid w:val="00E414ED"/>
    <w:rsid w:val="00E418DC"/>
    <w:rsid w:val="00E4242B"/>
    <w:rsid w:val="00E425E2"/>
    <w:rsid w:val="00E43613"/>
    <w:rsid w:val="00E43832"/>
    <w:rsid w:val="00E43936"/>
    <w:rsid w:val="00E43F45"/>
    <w:rsid w:val="00E4405E"/>
    <w:rsid w:val="00E454B1"/>
    <w:rsid w:val="00E466BE"/>
    <w:rsid w:val="00E4704C"/>
    <w:rsid w:val="00E4738A"/>
    <w:rsid w:val="00E47A5A"/>
    <w:rsid w:val="00E50235"/>
    <w:rsid w:val="00E50441"/>
    <w:rsid w:val="00E5096A"/>
    <w:rsid w:val="00E514FB"/>
    <w:rsid w:val="00E51AAD"/>
    <w:rsid w:val="00E51C0B"/>
    <w:rsid w:val="00E51F40"/>
    <w:rsid w:val="00E521F9"/>
    <w:rsid w:val="00E5283C"/>
    <w:rsid w:val="00E5289F"/>
    <w:rsid w:val="00E52A4F"/>
    <w:rsid w:val="00E52C82"/>
    <w:rsid w:val="00E52CFB"/>
    <w:rsid w:val="00E53025"/>
    <w:rsid w:val="00E5377B"/>
    <w:rsid w:val="00E53BF6"/>
    <w:rsid w:val="00E54054"/>
    <w:rsid w:val="00E548A1"/>
    <w:rsid w:val="00E55C5D"/>
    <w:rsid w:val="00E56067"/>
    <w:rsid w:val="00E57097"/>
    <w:rsid w:val="00E571CC"/>
    <w:rsid w:val="00E5741F"/>
    <w:rsid w:val="00E574B2"/>
    <w:rsid w:val="00E576A7"/>
    <w:rsid w:val="00E57CAE"/>
    <w:rsid w:val="00E6091E"/>
    <w:rsid w:val="00E6274B"/>
    <w:rsid w:val="00E63797"/>
    <w:rsid w:val="00E63D18"/>
    <w:rsid w:val="00E643C4"/>
    <w:rsid w:val="00E6541F"/>
    <w:rsid w:val="00E65433"/>
    <w:rsid w:val="00E65D3E"/>
    <w:rsid w:val="00E65F0B"/>
    <w:rsid w:val="00E66DDC"/>
    <w:rsid w:val="00E66E60"/>
    <w:rsid w:val="00E66F8A"/>
    <w:rsid w:val="00E6744B"/>
    <w:rsid w:val="00E67540"/>
    <w:rsid w:val="00E67937"/>
    <w:rsid w:val="00E7005C"/>
    <w:rsid w:val="00E70B14"/>
    <w:rsid w:val="00E70DC2"/>
    <w:rsid w:val="00E71B80"/>
    <w:rsid w:val="00E7342A"/>
    <w:rsid w:val="00E734F1"/>
    <w:rsid w:val="00E737E3"/>
    <w:rsid w:val="00E73EC6"/>
    <w:rsid w:val="00E74147"/>
    <w:rsid w:val="00E7415C"/>
    <w:rsid w:val="00E74898"/>
    <w:rsid w:val="00E752FF"/>
    <w:rsid w:val="00E75F33"/>
    <w:rsid w:val="00E767CC"/>
    <w:rsid w:val="00E76B9F"/>
    <w:rsid w:val="00E7772B"/>
    <w:rsid w:val="00E8015B"/>
    <w:rsid w:val="00E801F0"/>
    <w:rsid w:val="00E80D0A"/>
    <w:rsid w:val="00E811E7"/>
    <w:rsid w:val="00E81E4C"/>
    <w:rsid w:val="00E82306"/>
    <w:rsid w:val="00E832FF"/>
    <w:rsid w:val="00E835D6"/>
    <w:rsid w:val="00E83B80"/>
    <w:rsid w:val="00E86101"/>
    <w:rsid w:val="00E86139"/>
    <w:rsid w:val="00E86C06"/>
    <w:rsid w:val="00E871E6"/>
    <w:rsid w:val="00E876F2"/>
    <w:rsid w:val="00E87EEC"/>
    <w:rsid w:val="00E9010E"/>
    <w:rsid w:val="00E906FA"/>
    <w:rsid w:val="00E90E62"/>
    <w:rsid w:val="00E913FE"/>
    <w:rsid w:val="00E91F00"/>
    <w:rsid w:val="00E91F70"/>
    <w:rsid w:val="00E920A4"/>
    <w:rsid w:val="00E92C1D"/>
    <w:rsid w:val="00E92DB3"/>
    <w:rsid w:val="00E930CC"/>
    <w:rsid w:val="00E938E7"/>
    <w:rsid w:val="00E93A16"/>
    <w:rsid w:val="00E93D26"/>
    <w:rsid w:val="00E93F65"/>
    <w:rsid w:val="00E94FD7"/>
    <w:rsid w:val="00E95A7F"/>
    <w:rsid w:val="00E95E34"/>
    <w:rsid w:val="00E963C6"/>
    <w:rsid w:val="00E9641A"/>
    <w:rsid w:val="00E9664D"/>
    <w:rsid w:val="00E96B8B"/>
    <w:rsid w:val="00E96C3C"/>
    <w:rsid w:val="00E97F72"/>
    <w:rsid w:val="00EA036A"/>
    <w:rsid w:val="00EA0571"/>
    <w:rsid w:val="00EA07D7"/>
    <w:rsid w:val="00EA0AAF"/>
    <w:rsid w:val="00EA13A2"/>
    <w:rsid w:val="00EA1D19"/>
    <w:rsid w:val="00EA1E30"/>
    <w:rsid w:val="00EA1F8E"/>
    <w:rsid w:val="00EA253E"/>
    <w:rsid w:val="00EA2621"/>
    <w:rsid w:val="00EA2AA0"/>
    <w:rsid w:val="00EA2B1E"/>
    <w:rsid w:val="00EA2CBB"/>
    <w:rsid w:val="00EA2D52"/>
    <w:rsid w:val="00EA3387"/>
    <w:rsid w:val="00EA3B00"/>
    <w:rsid w:val="00EA3CD2"/>
    <w:rsid w:val="00EA3FA1"/>
    <w:rsid w:val="00EA4038"/>
    <w:rsid w:val="00EA40D0"/>
    <w:rsid w:val="00EA469E"/>
    <w:rsid w:val="00EA471E"/>
    <w:rsid w:val="00EA4CBD"/>
    <w:rsid w:val="00EA54EF"/>
    <w:rsid w:val="00EA5D14"/>
    <w:rsid w:val="00EA5FD8"/>
    <w:rsid w:val="00EA61D7"/>
    <w:rsid w:val="00EA6632"/>
    <w:rsid w:val="00EA6B97"/>
    <w:rsid w:val="00EB087C"/>
    <w:rsid w:val="00EB0950"/>
    <w:rsid w:val="00EB1220"/>
    <w:rsid w:val="00EB136B"/>
    <w:rsid w:val="00EB1CF5"/>
    <w:rsid w:val="00EB2CB4"/>
    <w:rsid w:val="00EB2F9A"/>
    <w:rsid w:val="00EB3113"/>
    <w:rsid w:val="00EB3174"/>
    <w:rsid w:val="00EB3187"/>
    <w:rsid w:val="00EB39A1"/>
    <w:rsid w:val="00EB4264"/>
    <w:rsid w:val="00EB4BE4"/>
    <w:rsid w:val="00EB524B"/>
    <w:rsid w:val="00EB543D"/>
    <w:rsid w:val="00EB5651"/>
    <w:rsid w:val="00EB5D14"/>
    <w:rsid w:val="00EB62E4"/>
    <w:rsid w:val="00EB6C25"/>
    <w:rsid w:val="00EB6F2C"/>
    <w:rsid w:val="00EB75FB"/>
    <w:rsid w:val="00EC1161"/>
    <w:rsid w:val="00EC1620"/>
    <w:rsid w:val="00EC1FA4"/>
    <w:rsid w:val="00EC26C3"/>
    <w:rsid w:val="00EC2CF8"/>
    <w:rsid w:val="00EC2DB5"/>
    <w:rsid w:val="00EC3350"/>
    <w:rsid w:val="00EC355A"/>
    <w:rsid w:val="00EC3A29"/>
    <w:rsid w:val="00EC3D49"/>
    <w:rsid w:val="00EC3EC2"/>
    <w:rsid w:val="00EC43F7"/>
    <w:rsid w:val="00EC4BEE"/>
    <w:rsid w:val="00EC4DEE"/>
    <w:rsid w:val="00EC4E11"/>
    <w:rsid w:val="00EC5189"/>
    <w:rsid w:val="00EC51E4"/>
    <w:rsid w:val="00EC5922"/>
    <w:rsid w:val="00EC5CF6"/>
    <w:rsid w:val="00EC5F3A"/>
    <w:rsid w:val="00EC6317"/>
    <w:rsid w:val="00EC6DF7"/>
    <w:rsid w:val="00EC7123"/>
    <w:rsid w:val="00EC737E"/>
    <w:rsid w:val="00EC7510"/>
    <w:rsid w:val="00EC761F"/>
    <w:rsid w:val="00EC7BB2"/>
    <w:rsid w:val="00EC7FEA"/>
    <w:rsid w:val="00ED04EC"/>
    <w:rsid w:val="00ED0924"/>
    <w:rsid w:val="00ED0A0F"/>
    <w:rsid w:val="00ED111E"/>
    <w:rsid w:val="00ED19AC"/>
    <w:rsid w:val="00ED2061"/>
    <w:rsid w:val="00ED2132"/>
    <w:rsid w:val="00ED2412"/>
    <w:rsid w:val="00ED24F5"/>
    <w:rsid w:val="00ED2A09"/>
    <w:rsid w:val="00ED3DB4"/>
    <w:rsid w:val="00ED4215"/>
    <w:rsid w:val="00ED4773"/>
    <w:rsid w:val="00ED4B32"/>
    <w:rsid w:val="00ED5C89"/>
    <w:rsid w:val="00ED5CA4"/>
    <w:rsid w:val="00ED5DD8"/>
    <w:rsid w:val="00ED604B"/>
    <w:rsid w:val="00ED609B"/>
    <w:rsid w:val="00ED6181"/>
    <w:rsid w:val="00ED631A"/>
    <w:rsid w:val="00ED67D6"/>
    <w:rsid w:val="00ED6F95"/>
    <w:rsid w:val="00ED7B3A"/>
    <w:rsid w:val="00EE0512"/>
    <w:rsid w:val="00EE0F40"/>
    <w:rsid w:val="00EE152D"/>
    <w:rsid w:val="00EE19B7"/>
    <w:rsid w:val="00EE2293"/>
    <w:rsid w:val="00EE46E7"/>
    <w:rsid w:val="00EE500D"/>
    <w:rsid w:val="00EE52F7"/>
    <w:rsid w:val="00EE562B"/>
    <w:rsid w:val="00EE605C"/>
    <w:rsid w:val="00EE6B5D"/>
    <w:rsid w:val="00EE72CC"/>
    <w:rsid w:val="00EE7708"/>
    <w:rsid w:val="00EE7BB9"/>
    <w:rsid w:val="00EF059E"/>
    <w:rsid w:val="00EF08F0"/>
    <w:rsid w:val="00EF24A2"/>
    <w:rsid w:val="00EF2931"/>
    <w:rsid w:val="00EF2D42"/>
    <w:rsid w:val="00EF30B8"/>
    <w:rsid w:val="00EF31CF"/>
    <w:rsid w:val="00EF3C80"/>
    <w:rsid w:val="00EF46BC"/>
    <w:rsid w:val="00EF4927"/>
    <w:rsid w:val="00EF508F"/>
    <w:rsid w:val="00EF5106"/>
    <w:rsid w:val="00EF52C9"/>
    <w:rsid w:val="00EF5524"/>
    <w:rsid w:val="00EF5B5D"/>
    <w:rsid w:val="00EF6697"/>
    <w:rsid w:val="00F00510"/>
    <w:rsid w:val="00F005D2"/>
    <w:rsid w:val="00F010B8"/>
    <w:rsid w:val="00F01305"/>
    <w:rsid w:val="00F017F4"/>
    <w:rsid w:val="00F01EFF"/>
    <w:rsid w:val="00F0233B"/>
    <w:rsid w:val="00F02657"/>
    <w:rsid w:val="00F027DD"/>
    <w:rsid w:val="00F0307F"/>
    <w:rsid w:val="00F033CC"/>
    <w:rsid w:val="00F0370B"/>
    <w:rsid w:val="00F03A96"/>
    <w:rsid w:val="00F041ED"/>
    <w:rsid w:val="00F04913"/>
    <w:rsid w:val="00F050DA"/>
    <w:rsid w:val="00F06E2E"/>
    <w:rsid w:val="00F07307"/>
    <w:rsid w:val="00F1007E"/>
    <w:rsid w:val="00F10830"/>
    <w:rsid w:val="00F10991"/>
    <w:rsid w:val="00F11874"/>
    <w:rsid w:val="00F11901"/>
    <w:rsid w:val="00F11D25"/>
    <w:rsid w:val="00F13E48"/>
    <w:rsid w:val="00F1430D"/>
    <w:rsid w:val="00F14709"/>
    <w:rsid w:val="00F14AE7"/>
    <w:rsid w:val="00F14B6C"/>
    <w:rsid w:val="00F156B8"/>
    <w:rsid w:val="00F158FD"/>
    <w:rsid w:val="00F1602F"/>
    <w:rsid w:val="00F16D03"/>
    <w:rsid w:val="00F16D54"/>
    <w:rsid w:val="00F16E44"/>
    <w:rsid w:val="00F16E68"/>
    <w:rsid w:val="00F17208"/>
    <w:rsid w:val="00F174A0"/>
    <w:rsid w:val="00F17E72"/>
    <w:rsid w:val="00F20704"/>
    <w:rsid w:val="00F21E8F"/>
    <w:rsid w:val="00F21F2D"/>
    <w:rsid w:val="00F2211F"/>
    <w:rsid w:val="00F225B8"/>
    <w:rsid w:val="00F22F93"/>
    <w:rsid w:val="00F23DB0"/>
    <w:rsid w:val="00F23E09"/>
    <w:rsid w:val="00F24024"/>
    <w:rsid w:val="00F24396"/>
    <w:rsid w:val="00F24E21"/>
    <w:rsid w:val="00F251DF"/>
    <w:rsid w:val="00F255B7"/>
    <w:rsid w:val="00F2583E"/>
    <w:rsid w:val="00F26023"/>
    <w:rsid w:val="00F26045"/>
    <w:rsid w:val="00F2624E"/>
    <w:rsid w:val="00F26AF6"/>
    <w:rsid w:val="00F26BD3"/>
    <w:rsid w:val="00F26E58"/>
    <w:rsid w:val="00F2700F"/>
    <w:rsid w:val="00F2797C"/>
    <w:rsid w:val="00F27B8F"/>
    <w:rsid w:val="00F303B3"/>
    <w:rsid w:val="00F3117F"/>
    <w:rsid w:val="00F31E99"/>
    <w:rsid w:val="00F32BAE"/>
    <w:rsid w:val="00F32CE1"/>
    <w:rsid w:val="00F33081"/>
    <w:rsid w:val="00F33184"/>
    <w:rsid w:val="00F33B12"/>
    <w:rsid w:val="00F33FF8"/>
    <w:rsid w:val="00F34A6C"/>
    <w:rsid w:val="00F34F56"/>
    <w:rsid w:val="00F3596F"/>
    <w:rsid w:val="00F35E3A"/>
    <w:rsid w:val="00F35F8B"/>
    <w:rsid w:val="00F362F9"/>
    <w:rsid w:val="00F36987"/>
    <w:rsid w:val="00F369C0"/>
    <w:rsid w:val="00F36C23"/>
    <w:rsid w:val="00F376C3"/>
    <w:rsid w:val="00F40B2F"/>
    <w:rsid w:val="00F40C16"/>
    <w:rsid w:val="00F41090"/>
    <w:rsid w:val="00F41950"/>
    <w:rsid w:val="00F41B70"/>
    <w:rsid w:val="00F42A4E"/>
    <w:rsid w:val="00F42CE7"/>
    <w:rsid w:val="00F42D52"/>
    <w:rsid w:val="00F43023"/>
    <w:rsid w:val="00F432A0"/>
    <w:rsid w:val="00F43A06"/>
    <w:rsid w:val="00F43A3E"/>
    <w:rsid w:val="00F43D62"/>
    <w:rsid w:val="00F45BCF"/>
    <w:rsid w:val="00F4643A"/>
    <w:rsid w:val="00F471D0"/>
    <w:rsid w:val="00F47A1B"/>
    <w:rsid w:val="00F50102"/>
    <w:rsid w:val="00F50215"/>
    <w:rsid w:val="00F51242"/>
    <w:rsid w:val="00F512A1"/>
    <w:rsid w:val="00F51C25"/>
    <w:rsid w:val="00F51CB0"/>
    <w:rsid w:val="00F52820"/>
    <w:rsid w:val="00F529CC"/>
    <w:rsid w:val="00F53706"/>
    <w:rsid w:val="00F539D7"/>
    <w:rsid w:val="00F53C24"/>
    <w:rsid w:val="00F53C71"/>
    <w:rsid w:val="00F54444"/>
    <w:rsid w:val="00F54668"/>
    <w:rsid w:val="00F55111"/>
    <w:rsid w:val="00F564F3"/>
    <w:rsid w:val="00F56672"/>
    <w:rsid w:val="00F56D8F"/>
    <w:rsid w:val="00F578F4"/>
    <w:rsid w:val="00F57A10"/>
    <w:rsid w:val="00F57AA1"/>
    <w:rsid w:val="00F57FCF"/>
    <w:rsid w:val="00F60C48"/>
    <w:rsid w:val="00F610D4"/>
    <w:rsid w:val="00F616C1"/>
    <w:rsid w:val="00F61F07"/>
    <w:rsid w:val="00F622CC"/>
    <w:rsid w:val="00F62510"/>
    <w:rsid w:val="00F62623"/>
    <w:rsid w:val="00F62B19"/>
    <w:rsid w:val="00F6308A"/>
    <w:rsid w:val="00F63804"/>
    <w:rsid w:val="00F63C17"/>
    <w:rsid w:val="00F64259"/>
    <w:rsid w:val="00F65C37"/>
    <w:rsid w:val="00F65C4C"/>
    <w:rsid w:val="00F671EC"/>
    <w:rsid w:val="00F67A21"/>
    <w:rsid w:val="00F67F75"/>
    <w:rsid w:val="00F702B4"/>
    <w:rsid w:val="00F70AAE"/>
    <w:rsid w:val="00F70D2D"/>
    <w:rsid w:val="00F7172A"/>
    <w:rsid w:val="00F725FA"/>
    <w:rsid w:val="00F72B2F"/>
    <w:rsid w:val="00F72D16"/>
    <w:rsid w:val="00F73D81"/>
    <w:rsid w:val="00F740F1"/>
    <w:rsid w:val="00F7431E"/>
    <w:rsid w:val="00F74831"/>
    <w:rsid w:val="00F74A1B"/>
    <w:rsid w:val="00F750ED"/>
    <w:rsid w:val="00F751BD"/>
    <w:rsid w:val="00F75646"/>
    <w:rsid w:val="00F75C2A"/>
    <w:rsid w:val="00F75D53"/>
    <w:rsid w:val="00F76252"/>
    <w:rsid w:val="00F7658B"/>
    <w:rsid w:val="00F76CF2"/>
    <w:rsid w:val="00F7723A"/>
    <w:rsid w:val="00F7723C"/>
    <w:rsid w:val="00F776CF"/>
    <w:rsid w:val="00F80020"/>
    <w:rsid w:val="00F8067B"/>
    <w:rsid w:val="00F80A9D"/>
    <w:rsid w:val="00F80BCF"/>
    <w:rsid w:val="00F80FB4"/>
    <w:rsid w:val="00F80FBB"/>
    <w:rsid w:val="00F80FD7"/>
    <w:rsid w:val="00F8176E"/>
    <w:rsid w:val="00F8191B"/>
    <w:rsid w:val="00F81BF4"/>
    <w:rsid w:val="00F81D43"/>
    <w:rsid w:val="00F8265D"/>
    <w:rsid w:val="00F828B0"/>
    <w:rsid w:val="00F82F4D"/>
    <w:rsid w:val="00F83D9D"/>
    <w:rsid w:val="00F83F02"/>
    <w:rsid w:val="00F845E1"/>
    <w:rsid w:val="00F8493A"/>
    <w:rsid w:val="00F849EA"/>
    <w:rsid w:val="00F84CB9"/>
    <w:rsid w:val="00F84EBC"/>
    <w:rsid w:val="00F862DC"/>
    <w:rsid w:val="00F86B3D"/>
    <w:rsid w:val="00F874E8"/>
    <w:rsid w:val="00F907B7"/>
    <w:rsid w:val="00F90865"/>
    <w:rsid w:val="00F90961"/>
    <w:rsid w:val="00F90F90"/>
    <w:rsid w:val="00F913C5"/>
    <w:rsid w:val="00F91BAD"/>
    <w:rsid w:val="00F91E5F"/>
    <w:rsid w:val="00F920D0"/>
    <w:rsid w:val="00F92AC2"/>
    <w:rsid w:val="00F92BCD"/>
    <w:rsid w:val="00F9395F"/>
    <w:rsid w:val="00F93AD1"/>
    <w:rsid w:val="00F93F73"/>
    <w:rsid w:val="00F94600"/>
    <w:rsid w:val="00F95101"/>
    <w:rsid w:val="00F95619"/>
    <w:rsid w:val="00F95844"/>
    <w:rsid w:val="00F96F40"/>
    <w:rsid w:val="00F973A5"/>
    <w:rsid w:val="00FA06FF"/>
    <w:rsid w:val="00FA0A72"/>
    <w:rsid w:val="00FA1087"/>
    <w:rsid w:val="00FA14E3"/>
    <w:rsid w:val="00FA195C"/>
    <w:rsid w:val="00FA233A"/>
    <w:rsid w:val="00FA28F6"/>
    <w:rsid w:val="00FA2C52"/>
    <w:rsid w:val="00FA2DDD"/>
    <w:rsid w:val="00FA31B2"/>
    <w:rsid w:val="00FA378D"/>
    <w:rsid w:val="00FA5C03"/>
    <w:rsid w:val="00FA5D93"/>
    <w:rsid w:val="00FA5EA0"/>
    <w:rsid w:val="00FA61E9"/>
    <w:rsid w:val="00FA6B3D"/>
    <w:rsid w:val="00FA6B6E"/>
    <w:rsid w:val="00FA73AE"/>
    <w:rsid w:val="00FA7602"/>
    <w:rsid w:val="00FB0392"/>
    <w:rsid w:val="00FB09A0"/>
    <w:rsid w:val="00FB0B96"/>
    <w:rsid w:val="00FB1890"/>
    <w:rsid w:val="00FB1968"/>
    <w:rsid w:val="00FB1C67"/>
    <w:rsid w:val="00FB2495"/>
    <w:rsid w:val="00FB2B8D"/>
    <w:rsid w:val="00FB354A"/>
    <w:rsid w:val="00FB3732"/>
    <w:rsid w:val="00FB434B"/>
    <w:rsid w:val="00FB448D"/>
    <w:rsid w:val="00FB489B"/>
    <w:rsid w:val="00FB4A36"/>
    <w:rsid w:val="00FB4BB8"/>
    <w:rsid w:val="00FB5263"/>
    <w:rsid w:val="00FB6029"/>
    <w:rsid w:val="00FB65BD"/>
    <w:rsid w:val="00FB65D1"/>
    <w:rsid w:val="00FB6794"/>
    <w:rsid w:val="00FB6C1D"/>
    <w:rsid w:val="00FB7CB4"/>
    <w:rsid w:val="00FC02C5"/>
    <w:rsid w:val="00FC0891"/>
    <w:rsid w:val="00FC15EA"/>
    <w:rsid w:val="00FC2321"/>
    <w:rsid w:val="00FC3557"/>
    <w:rsid w:val="00FC3819"/>
    <w:rsid w:val="00FC3AC0"/>
    <w:rsid w:val="00FC3CDC"/>
    <w:rsid w:val="00FC3E01"/>
    <w:rsid w:val="00FC43C3"/>
    <w:rsid w:val="00FC4590"/>
    <w:rsid w:val="00FC45F5"/>
    <w:rsid w:val="00FC4FA8"/>
    <w:rsid w:val="00FC5478"/>
    <w:rsid w:val="00FC5C8A"/>
    <w:rsid w:val="00FC5D21"/>
    <w:rsid w:val="00FC5D76"/>
    <w:rsid w:val="00FC6056"/>
    <w:rsid w:val="00FC65F7"/>
    <w:rsid w:val="00FC675E"/>
    <w:rsid w:val="00FC7D43"/>
    <w:rsid w:val="00FD06B4"/>
    <w:rsid w:val="00FD1CCF"/>
    <w:rsid w:val="00FD1D55"/>
    <w:rsid w:val="00FD2116"/>
    <w:rsid w:val="00FD3B9A"/>
    <w:rsid w:val="00FD4181"/>
    <w:rsid w:val="00FD43A6"/>
    <w:rsid w:val="00FD4674"/>
    <w:rsid w:val="00FD5C25"/>
    <w:rsid w:val="00FD5ECD"/>
    <w:rsid w:val="00FD6F4F"/>
    <w:rsid w:val="00FD7634"/>
    <w:rsid w:val="00FE0E7A"/>
    <w:rsid w:val="00FE15FD"/>
    <w:rsid w:val="00FE167B"/>
    <w:rsid w:val="00FE193D"/>
    <w:rsid w:val="00FE20FA"/>
    <w:rsid w:val="00FE2132"/>
    <w:rsid w:val="00FE34A6"/>
    <w:rsid w:val="00FE3E0C"/>
    <w:rsid w:val="00FE4320"/>
    <w:rsid w:val="00FE4B16"/>
    <w:rsid w:val="00FE4CD6"/>
    <w:rsid w:val="00FE4F6F"/>
    <w:rsid w:val="00FE587F"/>
    <w:rsid w:val="00FE6022"/>
    <w:rsid w:val="00FE613B"/>
    <w:rsid w:val="00FE73AF"/>
    <w:rsid w:val="00FE74C7"/>
    <w:rsid w:val="00FF0106"/>
    <w:rsid w:val="00FF024F"/>
    <w:rsid w:val="00FF0385"/>
    <w:rsid w:val="00FF0882"/>
    <w:rsid w:val="00FF0C8B"/>
    <w:rsid w:val="00FF0E45"/>
    <w:rsid w:val="00FF0EC6"/>
    <w:rsid w:val="00FF12E0"/>
    <w:rsid w:val="00FF1386"/>
    <w:rsid w:val="00FF17C1"/>
    <w:rsid w:val="00FF1B93"/>
    <w:rsid w:val="00FF387A"/>
    <w:rsid w:val="00FF4559"/>
    <w:rsid w:val="00FF4661"/>
    <w:rsid w:val="00FF4D77"/>
    <w:rsid w:val="00FF5199"/>
    <w:rsid w:val="00FF53AB"/>
    <w:rsid w:val="00FF54B5"/>
    <w:rsid w:val="00FF5A65"/>
    <w:rsid w:val="00FF6774"/>
    <w:rsid w:val="00FF6A97"/>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83BA07-E670-4A5E-8443-CBEAAFFD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35"/>
    <w:rPr>
      <w:sz w:val="24"/>
      <w:szCs w:val="24"/>
    </w:rPr>
  </w:style>
  <w:style w:type="paragraph" w:styleId="Heading1">
    <w:name w:val="heading 1"/>
    <w:basedOn w:val="Normal"/>
    <w:next w:val="Normal"/>
    <w:link w:val="Heading1Char"/>
    <w:uiPriority w:val="99"/>
    <w:qFormat/>
    <w:rsid w:val="0032294B"/>
    <w:pPr>
      <w:keepNext/>
      <w:autoSpaceDE w:val="0"/>
      <w:autoSpaceDN w:val="0"/>
      <w:adjustRightInd w:val="0"/>
      <w:outlineLvl w:val="0"/>
    </w:pPr>
    <w:rPr>
      <w:rFonts w:ascii="Arial" w:hAnsi="Arial"/>
      <w:b/>
    </w:rPr>
  </w:style>
  <w:style w:type="paragraph" w:styleId="Heading2">
    <w:name w:val="heading 2"/>
    <w:basedOn w:val="Normal"/>
    <w:link w:val="Heading2Char"/>
    <w:uiPriority w:val="99"/>
    <w:qFormat/>
    <w:rsid w:val="0032294B"/>
    <w:pPr>
      <w:outlineLvl w:val="1"/>
    </w:pPr>
    <w:rPr>
      <w:sz w:val="34"/>
      <w:szCs w:val="34"/>
    </w:rPr>
  </w:style>
  <w:style w:type="paragraph" w:styleId="Heading3">
    <w:name w:val="heading 3"/>
    <w:basedOn w:val="Normal"/>
    <w:next w:val="Normal"/>
    <w:link w:val="Heading3Char"/>
    <w:semiHidden/>
    <w:unhideWhenUsed/>
    <w:qFormat/>
    <w:locked/>
    <w:rsid w:val="005E7B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5541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E4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36E41"/>
    <w:rPr>
      <w:rFonts w:ascii="Cambria" w:hAnsi="Cambria" w:cs="Times New Roman"/>
      <w:b/>
      <w:bCs/>
      <w:i/>
      <w:iCs/>
      <w:sz w:val="28"/>
      <w:szCs w:val="28"/>
    </w:rPr>
  </w:style>
  <w:style w:type="character" w:styleId="Hyperlink">
    <w:name w:val="Hyperlink"/>
    <w:basedOn w:val="DefaultParagraphFont"/>
    <w:uiPriority w:val="99"/>
    <w:rsid w:val="0032294B"/>
    <w:rPr>
      <w:rFonts w:cs="Times New Roman"/>
      <w:color w:val="0000FF"/>
      <w:u w:val="single"/>
    </w:rPr>
  </w:style>
  <w:style w:type="character" w:styleId="FollowedHyperlink">
    <w:name w:val="FollowedHyperlink"/>
    <w:basedOn w:val="DefaultParagraphFont"/>
    <w:uiPriority w:val="99"/>
    <w:rsid w:val="0032294B"/>
    <w:rPr>
      <w:rFonts w:cs="Times New Roman"/>
      <w:color w:val="800080"/>
      <w:u w:val="single"/>
    </w:rPr>
  </w:style>
  <w:style w:type="paragraph" w:styleId="BalloonText">
    <w:name w:val="Balloon Text"/>
    <w:basedOn w:val="Normal"/>
    <w:link w:val="BalloonTextChar"/>
    <w:uiPriority w:val="99"/>
    <w:semiHidden/>
    <w:rsid w:val="00322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E41"/>
    <w:rPr>
      <w:rFonts w:cs="Times New Roman"/>
      <w:sz w:val="2"/>
    </w:rPr>
  </w:style>
  <w:style w:type="paragraph" w:styleId="NormalWeb">
    <w:name w:val="Normal (Web)"/>
    <w:basedOn w:val="Normal"/>
    <w:uiPriority w:val="99"/>
    <w:rsid w:val="0032294B"/>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sid w:val="0032294B"/>
    <w:rPr>
      <w:rFonts w:cs="Times New Roman"/>
      <w:b/>
      <w:bCs/>
    </w:rPr>
  </w:style>
  <w:style w:type="paragraph" w:styleId="Footer">
    <w:name w:val="footer"/>
    <w:basedOn w:val="Normal"/>
    <w:link w:val="FooterChar"/>
    <w:uiPriority w:val="99"/>
    <w:rsid w:val="0032294B"/>
    <w:pPr>
      <w:tabs>
        <w:tab w:val="center" w:pos="4320"/>
        <w:tab w:val="right" w:pos="8640"/>
      </w:tabs>
    </w:pPr>
  </w:style>
  <w:style w:type="character" w:customStyle="1" w:styleId="FooterChar">
    <w:name w:val="Footer Char"/>
    <w:basedOn w:val="DefaultParagraphFont"/>
    <w:link w:val="Footer"/>
    <w:uiPriority w:val="99"/>
    <w:semiHidden/>
    <w:locked/>
    <w:rsid w:val="00A36E41"/>
    <w:rPr>
      <w:rFonts w:cs="Times New Roman"/>
      <w:sz w:val="24"/>
      <w:szCs w:val="24"/>
    </w:rPr>
  </w:style>
  <w:style w:type="character" w:styleId="PageNumber">
    <w:name w:val="page number"/>
    <w:basedOn w:val="DefaultParagraphFont"/>
    <w:uiPriority w:val="99"/>
    <w:rsid w:val="0032294B"/>
    <w:rPr>
      <w:rFonts w:cs="Times New Roman"/>
    </w:rPr>
  </w:style>
  <w:style w:type="paragraph" w:customStyle="1" w:styleId="NewsRelease">
    <w:name w:val="News Release"/>
    <w:basedOn w:val="Normal"/>
    <w:uiPriority w:val="99"/>
    <w:rsid w:val="0032294B"/>
    <w:pPr>
      <w:spacing w:before="120" w:line="360" w:lineRule="auto"/>
    </w:pPr>
    <w:rPr>
      <w:sz w:val="20"/>
      <w:szCs w:val="20"/>
    </w:rPr>
  </w:style>
  <w:style w:type="paragraph" w:customStyle="1" w:styleId="Default">
    <w:name w:val="Default"/>
    <w:rsid w:val="0032294B"/>
    <w:pPr>
      <w:autoSpaceDE w:val="0"/>
      <w:autoSpaceDN w:val="0"/>
      <w:adjustRightInd w:val="0"/>
    </w:pPr>
    <w:rPr>
      <w:color w:val="000000"/>
      <w:sz w:val="24"/>
      <w:szCs w:val="24"/>
    </w:rPr>
  </w:style>
  <w:style w:type="paragraph" w:styleId="Header">
    <w:name w:val="header"/>
    <w:basedOn w:val="Normal"/>
    <w:link w:val="HeaderChar"/>
    <w:uiPriority w:val="99"/>
    <w:rsid w:val="0032294B"/>
    <w:pPr>
      <w:tabs>
        <w:tab w:val="center" w:pos="4320"/>
        <w:tab w:val="right" w:pos="8640"/>
      </w:tabs>
    </w:pPr>
  </w:style>
  <w:style w:type="character" w:customStyle="1" w:styleId="HeaderChar">
    <w:name w:val="Header Char"/>
    <w:basedOn w:val="DefaultParagraphFont"/>
    <w:link w:val="Header"/>
    <w:uiPriority w:val="99"/>
    <w:locked/>
    <w:rsid w:val="00A36E41"/>
    <w:rPr>
      <w:rFonts w:cs="Times New Roman"/>
      <w:sz w:val="24"/>
      <w:szCs w:val="24"/>
    </w:rPr>
  </w:style>
  <w:style w:type="character" w:styleId="Emphasis">
    <w:name w:val="Emphasis"/>
    <w:basedOn w:val="DefaultParagraphFont"/>
    <w:uiPriority w:val="20"/>
    <w:qFormat/>
    <w:rsid w:val="0032294B"/>
    <w:rPr>
      <w:rFonts w:cs="Times New Roman"/>
      <w:i/>
      <w:iCs/>
    </w:rPr>
  </w:style>
  <w:style w:type="paragraph" w:customStyle="1" w:styleId="newsreleaseheader">
    <w:name w:val="newsreleaseheader"/>
    <w:basedOn w:val="Normal"/>
    <w:uiPriority w:val="99"/>
    <w:rsid w:val="0032294B"/>
    <w:pPr>
      <w:spacing w:before="100" w:beforeAutospacing="1" w:after="100" w:afterAutospacing="1"/>
    </w:pPr>
  </w:style>
  <w:style w:type="paragraph" w:customStyle="1" w:styleId="paragraph">
    <w:name w:val="paragraph"/>
    <w:basedOn w:val="Normal"/>
    <w:uiPriority w:val="99"/>
    <w:rsid w:val="0032294B"/>
    <w:pPr>
      <w:spacing w:before="100" w:beforeAutospacing="1" w:after="100" w:afterAutospacing="1"/>
    </w:pPr>
    <w:rPr>
      <w:color w:val="000000"/>
    </w:rPr>
  </w:style>
  <w:style w:type="paragraph" w:styleId="BodyText">
    <w:name w:val="Body Text"/>
    <w:basedOn w:val="Normal"/>
    <w:link w:val="BodyTextChar"/>
    <w:uiPriority w:val="99"/>
    <w:rsid w:val="0032294B"/>
    <w:pPr>
      <w:autoSpaceDE w:val="0"/>
      <w:autoSpaceDN w:val="0"/>
      <w:adjustRightInd w:val="0"/>
    </w:pPr>
    <w:rPr>
      <w:rFonts w:ascii="Arial" w:hAnsi="Arial"/>
      <w:b/>
    </w:rPr>
  </w:style>
  <w:style w:type="character" w:customStyle="1" w:styleId="BodyTextChar">
    <w:name w:val="Body Text Char"/>
    <w:basedOn w:val="DefaultParagraphFont"/>
    <w:link w:val="BodyText"/>
    <w:uiPriority w:val="99"/>
    <w:semiHidden/>
    <w:locked/>
    <w:rsid w:val="00A36E41"/>
    <w:rPr>
      <w:rFonts w:cs="Times New Roman"/>
      <w:sz w:val="24"/>
      <w:szCs w:val="24"/>
    </w:rPr>
  </w:style>
  <w:style w:type="paragraph" w:styleId="BodyText2">
    <w:name w:val="Body Text 2"/>
    <w:basedOn w:val="Normal"/>
    <w:link w:val="BodyText2Char"/>
    <w:uiPriority w:val="99"/>
    <w:rsid w:val="0032294B"/>
    <w:pPr>
      <w:autoSpaceDE w:val="0"/>
      <w:autoSpaceDN w:val="0"/>
      <w:adjustRightInd w:val="0"/>
    </w:pPr>
    <w:rPr>
      <w:rFonts w:ascii="Georgia" w:hAnsi="Georgia"/>
      <w:b/>
      <w:i/>
      <w:sz w:val="20"/>
    </w:rPr>
  </w:style>
  <w:style w:type="character" w:customStyle="1" w:styleId="BodyText2Char">
    <w:name w:val="Body Text 2 Char"/>
    <w:basedOn w:val="DefaultParagraphFont"/>
    <w:link w:val="BodyText2"/>
    <w:uiPriority w:val="99"/>
    <w:semiHidden/>
    <w:locked/>
    <w:rsid w:val="00A36E41"/>
    <w:rPr>
      <w:rFonts w:cs="Times New Roman"/>
      <w:sz w:val="24"/>
      <w:szCs w:val="24"/>
    </w:rPr>
  </w:style>
  <w:style w:type="paragraph" w:styleId="BodyText3">
    <w:name w:val="Body Text 3"/>
    <w:basedOn w:val="Normal"/>
    <w:link w:val="BodyText3Char"/>
    <w:uiPriority w:val="99"/>
    <w:rsid w:val="0032294B"/>
    <w:rPr>
      <w:i/>
      <w:sz w:val="20"/>
    </w:rPr>
  </w:style>
  <w:style w:type="character" w:customStyle="1" w:styleId="BodyText3Char">
    <w:name w:val="Body Text 3 Char"/>
    <w:basedOn w:val="DefaultParagraphFont"/>
    <w:link w:val="BodyText3"/>
    <w:uiPriority w:val="99"/>
    <w:semiHidden/>
    <w:locked/>
    <w:rsid w:val="00A36E41"/>
    <w:rPr>
      <w:rFonts w:cs="Times New Roman"/>
      <w:sz w:val="16"/>
      <w:szCs w:val="16"/>
    </w:rPr>
  </w:style>
  <w:style w:type="paragraph" w:styleId="EndnoteText">
    <w:name w:val="endnote text"/>
    <w:basedOn w:val="Normal"/>
    <w:link w:val="EndnoteTextChar"/>
    <w:uiPriority w:val="99"/>
    <w:semiHidden/>
    <w:rsid w:val="00AF57F9"/>
    <w:rPr>
      <w:sz w:val="20"/>
      <w:szCs w:val="20"/>
    </w:rPr>
  </w:style>
  <w:style w:type="character" w:customStyle="1" w:styleId="EndnoteTextChar">
    <w:name w:val="Endnote Text Char"/>
    <w:basedOn w:val="DefaultParagraphFont"/>
    <w:link w:val="EndnoteText"/>
    <w:uiPriority w:val="99"/>
    <w:semiHidden/>
    <w:locked/>
    <w:rsid w:val="003143CA"/>
    <w:rPr>
      <w:rFonts w:cs="Times New Roman"/>
    </w:rPr>
  </w:style>
  <w:style w:type="character" w:styleId="EndnoteReference">
    <w:name w:val="endnote reference"/>
    <w:basedOn w:val="DefaultParagraphFont"/>
    <w:uiPriority w:val="99"/>
    <w:semiHidden/>
    <w:rsid w:val="00AF57F9"/>
    <w:rPr>
      <w:rFonts w:cs="Times New Roman"/>
      <w:vertAlign w:val="superscript"/>
    </w:rPr>
  </w:style>
  <w:style w:type="paragraph" w:styleId="FootnoteText">
    <w:name w:val="footnote text"/>
    <w:basedOn w:val="Normal"/>
    <w:link w:val="FootnoteTextChar"/>
    <w:uiPriority w:val="99"/>
    <w:semiHidden/>
    <w:rsid w:val="00617993"/>
    <w:rPr>
      <w:sz w:val="20"/>
      <w:szCs w:val="20"/>
    </w:rPr>
  </w:style>
  <w:style w:type="character" w:customStyle="1" w:styleId="FootnoteTextChar">
    <w:name w:val="Footnote Text Char"/>
    <w:basedOn w:val="DefaultParagraphFont"/>
    <w:link w:val="FootnoteText"/>
    <w:uiPriority w:val="99"/>
    <w:semiHidden/>
    <w:locked/>
    <w:rsid w:val="00A36E41"/>
    <w:rPr>
      <w:rFonts w:cs="Times New Roman"/>
      <w:sz w:val="20"/>
      <w:szCs w:val="20"/>
    </w:rPr>
  </w:style>
  <w:style w:type="character" w:styleId="FootnoteReference">
    <w:name w:val="footnote reference"/>
    <w:basedOn w:val="DefaultParagraphFont"/>
    <w:uiPriority w:val="99"/>
    <w:semiHidden/>
    <w:rsid w:val="00617993"/>
    <w:rPr>
      <w:rFonts w:cs="Times New Roman"/>
      <w:vertAlign w:val="superscript"/>
    </w:rPr>
  </w:style>
  <w:style w:type="character" w:customStyle="1" w:styleId="nrbodydiv">
    <w:name w:val="nrbodydiv"/>
    <w:basedOn w:val="DefaultParagraphFont"/>
    <w:uiPriority w:val="99"/>
    <w:rsid w:val="00AE0579"/>
    <w:rPr>
      <w:rFonts w:cs="Times New Roman"/>
    </w:rPr>
  </w:style>
  <w:style w:type="character" w:customStyle="1" w:styleId="docfooter">
    <w:name w:val="docfooter"/>
    <w:basedOn w:val="DefaultParagraphFont"/>
    <w:uiPriority w:val="99"/>
    <w:rsid w:val="00896631"/>
    <w:rPr>
      <w:rFonts w:cs="Times New Roman"/>
    </w:rPr>
  </w:style>
  <w:style w:type="paragraph" w:styleId="HTMLPreformatted">
    <w:name w:val="HTML Preformatted"/>
    <w:basedOn w:val="Normal"/>
    <w:link w:val="HTMLPreformattedChar"/>
    <w:uiPriority w:val="99"/>
    <w:rsid w:val="001F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36E41"/>
    <w:rPr>
      <w:rFonts w:ascii="Courier New" w:hAnsi="Courier New" w:cs="Courier New"/>
      <w:sz w:val="20"/>
      <w:szCs w:val="20"/>
    </w:rPr>
  </w:style>
  <w:style w:type="character" w:customStyle="1" w:styleId="date-display-single">
    <w:name w:val="date-display-single"/>
    <w:basedOn w:val="DefaultParagraphFont"/>
    <w:rsid w:val="00813EF4"/>
    <w:rPr>
      <w:rFonts w:cs="Times New Roman"/>
    </w:rPr>
  </w:style>
  <w:style w:type="character" w:customStyle="1" w:styleId="date-display-start">
    <w:name w:val="date-display-start"/>
    <w:basedOn w:val="DefaultParagraphFont"/>
    <w:rsid w:val="00813EF4"/>
    <w:rPr>
      <w:rFonts w:cs="Times New Roman"/>
    </w:rPr>
  </w:style>
  <w:style w:type="character" w:customStyle="1" w:styleId="date-display-separator">
    <w:name w:val="date-display-separator"/>
    <w:basedOn w:val="DefaultParagraphFont"/>
    <w:uiPriority w:val="99"/>
    <w:rsid w:val="00813EF4"/>
    <w:rPr>
      <w:rFonts w:cs="Times New Roman"/>
    </w:rPr>
  </w:style>
  <w:style w:type="character" w:customStyle="1" w:styleId="date-display-end">
    <w:name w:val="date-display-end"/>
    <w:basedOn w:val="DefaultParagraphFont"/>
    <w:rsid w:val="00813EF4"/>
    <w:rPr>
      <w:rFonts w:cs="Times New Roman"/>
    </w:rPr>
  </w:style>
  <w:style w:type="paragraph" w:styleId="ListParagraph">
    <w:name w:val="List Paragraph"/>
    <w:basedOn w:val="Normal"/>
    <w:uiPriority w:val="99"/>
    <w:qFormat/>
    <w:rsid w:val="000F18CA"/>
    <w:pPr>
      <w:ind w:left="720"/>
      <w:contextualSpacing/>
    </w:pPr>
  </w:style>
  <w:style w:type="character" w:customStyle="1" w:styleId="footertext">
    <w:name w:val="footertext"/>
    <w:basedOn w:val="DefaultParagraphFont"/>
    <w:uiPriority w:val="99"/>
    <w:rsid w:val="00A50190"/>
    <w:rPr>
      <w:rFonts w:cs="Times New Roman"/>
    </w:rPr>
  </w:style>
  <w:style w:type="character" w:styleId="HTMLAcronym">
    <w:name w:val="HTML Acronym"/>
    <w:basedOn w:val="DefaultParagraphFont"/>
    <w:uiPriority w:val="99"/>
    <w:semiHidden/>
    <w:rsid w:val="00A50190"/>
    <w:rPr>
      <w:rFonts w:cs="Times New Roman"/>
    </w:rPr>
  </w:style>
  <w:style w:type="paragraph" w:customStyle="1" w:styleId="content">
    <w:name w:val="content"/>
    <w:basedOn w:val="Normal"/>
    <w:uiPriority w:val="99"/>
    <w:rsid w:val="00380EDF"/>
    <w:pPr>
      <w:spacing w:before="100" w:beforeAutospacing="1" w:after="100" w:afterAutospacing="1"/>
    </w:pPr>
  </w:style>
  <w:style w:type="character" w:customStyle="1" w:styleId="pager-list">
    <w:name w:val="pager-list"/>
    <w:basedOn w:val="DefaultParagraphFont"/>
    <w:uiPriority w:val="99"/>
    <w:rsid w:val="00935473"/>
    <w:rPr>
      <w:rFonts w:cs="Times New Roman"/>
    </w:rPr>
  </w:style>
  <w:style w:type="paragraph" w:customStyle="1" w:styleId="Heading">
    <w:name w:val="Heading"/>
    <w:basedOn w:val="Normal"/>
    <w:link w:val="HeadingChar"/>
    <w:uiPriority w:val="99"/>
    <w:rsid w:val="00E165F1"/>
    <w:rPr>
      <w:rFonts w:ascii="Arial" w:hAnsi="Arial" w:cs="Arial"/>
      <w:b/>
      <w:color w:val="FF0000"/>
      <w:sz w:val="40"/>
      <w:szCs w:val="40"/>
    </w:rPr>
  </w:style>
  <w:style w:type="paragraph" w:styleId="TOCHeading">
    <w:name w:val="TOC Heading"/>
    <w:basedOn w:val="Heading1"/>
    <w:next w:val="Normal"/>
    <w:uiPriority w:val="99"/>
    <w:qFormat/>
    <w:rsid w:val="00130711"/>
    <w:pPr>
      <w:keepLines/>
      <w:autoSpaceDE/>
      <w:autoSpaceDN/>
      <w:adjustRightInd/>
      <w:spacing w:before="480" w:line="276" w:lineRule="auto"/>
      <w:outlineLvl w:val="9"/>
    </w:pPr>
    <w:rPr>
      <w:rFonts w:ascii="Cambria" w:hAnsi="Cambria"/>
      <w:bCs/>
      <w:color w:val="365F91"/>
      <w:sz w:val="28"/>
      <w:szCs w:val="28"/>
    </w:rPr>
  </w:style>
  <w:style w:type="character" w:customStyle="1" w:styleId="HeadingChar">
    <w:name w:val="Heading Char"/>
    <w:basedOn w:val="DefaultParagraphFont"/>
    <w:link w:val="Heading"/>
    <w:uiPriority w:val="99"/>
    <w:locked/>
    <w:rsid w:val="00E165F1"/>
    <w:rPr>
      <w:rFonts w:ascii="Arial" w:hAnsi="Arial" w:cs="Arial"/>
      <w:b/>
      <w:color w:val="FF0000"/>
      <w:sz w:val="40"/>
      <w:szCs w:val="40"/>
    </w:rPr>
  </w:style>
  <w:style w:type="paragraph" w:styleId="TOC2">
    <w:name w:val="toc 2"/>
    <w:basedOn w:val="Normal"/>
    <w:next w:val="Normal"/>
    <w:autoRedefine/>
    <w:uiPriority w:val="99"/>
    <w:locked/>
    <w:rsid w:val="00130711"/>
    <w:pPr>
      <w:spacing w:before="120"/>
      <w:ind w:left="240"/>
    </w:pPr>
    <w:rPr>
      <w:rFonts w:ascii="Calibri" w:hAnsi="Calibri"/>
      <w:i/>
      <w:iCs/>
      <w:sz w:val="20"/>
      <w:szCs w:val="20"/>
    </w:rPr>
  </w:style>
  <w:style w:type="paragraph" w:styleId="TOC1">
    <w:name w:val="toc 1"/>
    <w:basedOn w:val="Normal"/>
    <w:next w:val="Normal"/>
    <w:autoRedefine/>
    <w:uiPriority w:val="99"/>
    <w:locked/>
    <w:rsid w:val="00537A32"/>
    <w:pPr>
      <w:spacing w:after="120" w:line="480" w:lineRule="auto"/>
    </w:pPr>
    <w:rPr>
      <w:rFonts w:ascii="Arial" w:hAnsi="Arial"/>
      <w:b/>
      <w:bCs/>
      <w:color w:val="002060"/>
      <w:szCs w:val="20"/>
    </w:rPr>
  </w:style>
  <w:style w:type="paragraph" w:styleId="TOC3">
    <w:name w:val="toc 3"/>
    <w:basedOn w:val="Normal"/>
    <w:next w:val="Normal"/>
    <w:autoRedefine/>
    <w:uiPriority w:val="99"/>
    <w:locked/>
    <w:rsid w:val="00066A26"/>
    <w:pPr>
      <w:ind w:left="480"/>
    </w:pPr>
    <w:rPr>
      <w:rFonts w:ascii="Calibri" w:hAnsi="Calibri"/>
      <w:sz w:val="20"/>
      <w:szCs w:val="20"/>
    </w:rPr>
  </w:style>
  <w:style w:type="paragraph" w:styleId="TOC4">
    <w:name w:val="toc 4"/>
    <w:basedOn w:val="Normal"/>
    <w:next w:val="Normal"/>
    <w:autoRedefine/>
    <w:uiPriority w:val="99"/>
    <w:locked/>
    <w:rsid w:val="00A67A7C"/>
    <w:pPr>
      <w:ind w:left="720"/>
    </w:pPr>
    <w:rPr>
      <w:rFonts w:ascii="Calibri" w:hAnsi="Calibri"/>
      <w:sz w:val="20"/>
      <w:szCs w:val="20"/>
    </w:rPr>
  </w:style>
  <w:style w:type="paragraph" w:styleId="TOC5">
    <w:name w:val="toc 5"/>
    <w:basedOn w:val="Normal"/>
    <w:next w:val="Normal"/>
    <w:autoRedefine/>
    <w:uiPriority w:val="99"/>
    <w:locked/>
    <w:rsid w:val="00A67A7C"/>
    <w:pPr>
      <w:ind w:left="960"/>
    </w:pPr>
    <w:rPr>
      <w:rFonts w:ascii="Calibri" w:hAnsi="Calibri"/>
      <w:sz w:val="20"/>
      <w:szCs w:val="20"/>
    </w:rPr>
  </w:style>
  <w:style w:type="paragraph" w:styleId="TOC6">
    <w:name w:val="toc 6"/>
    <w:basedOn w:val="Normal"/>
    <w:next w:val="Normal"/>
    <w:autoRedefine/>
    <w:uiPriority w:val="99"/>
    <w:locked/>
    <w:rsid w:val="00A67A7C"/>
    <w:pPr>
      <w:ind w:left="1200"/>
    </w:pPr>
    <w:rPr>
      <w:rFonts w:ascii="Calibri" w:hAnsi="Calibri"/>
      <w:sz w:val="20"/>
      <w:szCs w:val="20"/>
    </w:rPr>
  </w:style>
  <w:style w:type="paragraph" w:styleId="TOC7">
    <w:name w:val="toc 7"/>
    <w:basedOn w:val="Normal"/>
    <w:next w:val="Normal"/>
    <w:autoRedefine/>
    <w:uiPriority w:val="99"/>
    <w:locked/>
    <w:rsid w:val="00A67A7C"/>
    <w:pPr>
      <w:ind w:left="1440"/>
    </w:pPr>
    <w:rPr>
      <w:rFonts w:ascii="Calibri" w:hAnsi="Calibri"/>
      <w:sz w:val="20"/>
      <w:szCs w:val="20"/>
    </w:rPr>
  </w:style>
  <w:style w:type="paragraph" w:styleId="TOC8">
    <w:name w:val="toc 8"/>
    <w:basedOn w:val="Normal"/>
    <w:next w:val="Normal"/>
    <w:autoRedefine/>
    <w:uiPriority w:val="99"/>
    <w:locked/>
    <w:rsid w:val="00A67A7C"/>
    <w:pPr>
      <w:ind w:left="1680"/>
    </w:pPr>
    <w:rPr>
      <w:rFonts w:ascii="Calibri" w:hAnsi="Calibri"/>
      <w:sz w:val="20"/>
      <w:szCs w:val="20"/>
    </w:rPr>
  </w:style>
  <w:style w:type="paragraph" w:styleId="TOC9">
    <w:name w:val="toc 9"/>
    <w:basedOn w:val="Normal"/>
    <w:next w:val="Normal"/>
    <w:autoRedefine/>
    <w:uiPriority w:val="99"/>
    <w:locked/>
    <w:rsid w:val="00A67A7C"/>
    <w:pPr>
      <w:ind w:left="1920"/>
    </w:pPr>
    <w:rPr>
      <w:rFonts w:ascii="Calibri" w:hAnsi="Calibri"/>
      <w:sz w:val="20"/>
      <w:szCs w:val="20"/>
    </w:rPr>
  </w:style>
  <w:style w:type="character" w:customStyle="1" w:styleId="e-03">
    <w:name w:val="e-03"/>
    <w:basedOn w:val="DefaultParagraphFont"/>
    <w:uiPriority w:val="99"/>
    <w:rsid w:val="007F50CF"/>
    <w:rPr>
      <w:rFonts w:cs="Times New Roman"/>
    </w:rPr>
  </w:style>
  <w:style w:type="character" w:customStyle="1" w:styleId="trigger">
    <w:name w:val="trigger"/>
    <w:basedOn w:val="DefaultParagraphFont"/>
    <w:uiPriority w:val="99"/>
    <w:rsid w:val="007F50CF"/>
    <w:rPr>
      <w:rFonts w:cs="Times New Roman"/>
    </w:rPr>
  </w:style>
  <w:style w:type="paragraph" w:customStyle="1" w:styleId="citable">
    <w:name w:val="citable"/>
    <w:basedOn w:val="Normal"/>
    <w:uiPriority w:val="99"/>
    <w:rsid w:val="007F50CF"/>
    <w:pPr>
      <w:spacing w:before="100" w:beforeAutospacing="1" w:after="100" w:afterAutospacing="1"/>
    </w:pPr>
  </w:style>
  <w:style w:type="character" w:customStyle="1" w:styleId="apple-converted-space">
    <w:name w:val="apple-converted-space"/>
    <w:basedOn w:val="DefaultParagraphFont"/>
    <w:rsid w:val="00E10F3D"/>
    <w:rPr>
      <w:rFonts w:cs="Times New Roman"/>
    </w:rPr>
  </w:style>
  <w:style w:type="paragraph" w:styleId="HTMLAddress">
    <w:name w:val="HTML Address"/>
    <w:basedOn w:val="Normal"/>
    <w:link w:val="HTMLAddressChar"/>
    <w:uiPriority w:val="99"/>
    <w:semiHidden/>
    <w:rsid w:val="00AB51C1"/>
    <w:rPr>
      <w:i/>
      <w:iCs/>
    </w:rPr>
  </w:style>
  <w:style w:type="character" w:customStyle="1" w:styleId="HTMLAddressChar">
    <w:name w:val="HTML Address Char"/>
    <w:basedOn w:val="DefaultParagraphFont"/>
    <w:link w:val="HTMLAddress"/>
    <w:uiPriority w:val="99"/>
    <w:semiHidden/>
    <w:locked/>
    <w:rsid w:val="00AB51C1"/>
    <w:rPr>
      <w:rFonts w:cs="Times New Roman"/>
      <w:i/>
      <w:iCs/>
      <w:sz w:val="24"/>
      <w:szCs w:val="24"/>
    </w:rPr>
  </w:style>
  <w:style w:type="character" w:customStyle="1" w:styleId="Heading3Char">
    <w:name w:val="Heading 3 Char"/>
    <w:basedOn w:val="DefaultParagraphFont"/>
    <w:link w:val="Heading3"/>
    <w:semiHidden/>
    <w:rsid w:val="005E7BF8"/>
    <w:rPr>
      <w:rFonts w:asciiTheme="majorHAnsi" w:eastAsiaTheme="majorEastAsia" w:hAnsiTheme="majorHAnsi" w:cstheme="majorBidi"/>
      <w:b/>
      <w:bCs/>
      <w:color w:val="4F81BD" w:themeColor="accent1"/>
      <w:sz w:val="24"/>
      <w:szCs w:val="24"/>
    </w:rPr>
  </w:style>
  <w:style w:type="table" w:customStyle="1" w:styleId="LightShading1">
    <w:name w:val="Light Shading1"/>
    <w:basedOn w:val="TableNormal"/>
    <w:uiPriority w:val="60"/>
    <w:rsid w:val="008C65B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E3224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E3224C"/>
    <w:rPr>
      <w:rFonts w:ascii="Consolas" w:eastAsiaTheme="minorHAnsi" w:hAnsi="Consolas" w:cs="Consolas"/>
      <w:sz w:val="21"/>
      <w:szCs w:val="21"/>
    </w:rPr>
  </w:style>
  <w:style w:type="character" w:customStyle="1" w:styleId="filelink">
    <w:name w:val="filelink"/>
    <w:basedOn w:val="DefaultParagraphFont"/>
    <w:rsid w:val="00A52BF4"/>
  </w:style>
  <w:style w:type="character" w:customStyle="1" w:styleId="Heading4Char">
    <w:name w:val="Heading 4 Char"/>
    <w:basedOn w:val="DefaultParagraphFont"/>
    <w:link w:val="Heading4"/>
    <w:semiHidden/>
    <w:rsid w:val="0055411E"/>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772">
      <w:bodyDiv w:val="1"/>
      <w:marLeft w:val="0"/>
      <w:marRight w:val="0"/>
      <w:marTop w:val="0"/>
      <w:marBottom w:val="0"/>
      <w:divBdr>
        <w:top w:val="none" w:sz="0" w:space="0" w:color="auto"/>
        <w:left w:val="none" w:sz="0" w:space="0" w:color="auto"/>
        <w:bottom w:val="none" w:sz="0" w:space="0" w:color="auto"/>
        <w:right w:val="none" w:sz="0" w:space="0" w:color="auto"/>
      </w:divBdr>
    </w:div>
    <w:div w:id="96147937">
      <w:bodyDiv w:val="1"/>
      <w:marLeft w:val="0"/>
      <w:marRight w:val="0"/>
      <w:marTop w:val="0"/>
      <w:marBottom w:val="0"/>
      <w:divBdr>
        <w:top w:val="none" w:sz="0" w:space="0" w:color="auto"/>
        <w:left w:val="none" w:sz="0" w:space="0" w:color="auto"/>
        <w:bottom w:val="none" w:sz="0" w:space="0" w:color="auto"/>
        <w:right w:val="none" w:sz="0" w:space="0" w:color="auto"/>
      </w:divBdr>
    </w:div>
    <w:div w:id="206337444">
      <w:bodyDiv w:val="1"/>
      <w:marLeft w:val="0"/>
      <w:marRight w:val="0"/>
      <w:marTop w:val="0"/>
      <w:marBottom w:val="0"/>
      <w:divBdr>
        <w:top w:val="none" w:sz="0" w:space="0" w:color="auto"/>
        <w:left w:val="none" w:sz="0" w:space="0" w:color="auto"/>
        <w:bottom w:val="none" w:sz="0" w:space="0" w:color="auto"/>
        <w:right w:val="none" w:sz="0" w:space="0" w:color="auto"/>
      </w:divBdr>
    </w:div>
    <w:div w:id="214002107">
      <w:bodyDiv w:val="1"/>
      <w:marLeft w:val="0"/>
      <w:marRight w:val="0"/>
      <w:marTop w:val="0"/>
      <w:marBottom w:val="0"/>
      <w:divBdr>
        <w:top w:val="none" w:sz="0" w:space="0" w:color="auto"/>
        <w:left w:val="none" w:sz="0" w:space="0" w:color="auto"/>
        <w:bottom w:val="none" w:sz="0" w:space="0" w:color="auto"/>
        <w:right w:val="none" w:sz="0" w:space="0" w:color="auto"/>
      </w:divBdr>
    </w:div>
    <w:div w:id="224219860">
      <w:bodyDiv w:val="1"/>
      <w:marLeft w:val="0"/>
      <w:marRight w:val="0"/>
      <w:marTop w:val="0"/>
      <w:marBottom w:val="0"/>
      <w:divBdr>
        <w:top w:val="none" w:sz="0" w:space="0" w:color="auto"/>
        <w:left w:val="none" w:sz="0" w:space="0" w:color="auto"/>
        <w:bottom w:val="none" w:sz="0" w:space="0" w:color="auto"/>
        <w:right w:val="none" w:sz="0" w:space="0" w:color="auto"/>
      </w:divBdr>
    </w:div>
    <w:div w:id="288779928">
      <w:bodyDiv w:val="1"/>
      <w:marLeft w:val="0"/>
      <w:marRight w:val="0"/>
      <w:marTop w:val="0"/>
      <w:marBottom w:val="0"/>
      <w:divBdr>
        <w:top w:val="none" w:sz="0" w:space="0" w:color="auto"/>
        <w:left w:val="none" w:sz="0" w:space="0" w:color="auto"/>
        <w:bottom w:val="none" w:sz="0" w:space="0" w:color="auto"/>
        <w:right w:val="none" w:sz="0" w:space="0" w:color="auto"/>
      </w:divBdr>
    </w:div>
    <w:div w:id="291445810">
      <w:bodyDiv w:val="1"/>
      <w:marLeft w:val="0"/>
      <w:marRight w:val="0"/>
      <w:marTop w:val="0"/>
      <w:marBottom w:val="0"/>
      <w:divBdr>
        <w:top w:val="none" w:sz="0" w:space="0" w:color="auto"/>
        <w:left w:val="none" w:sz="0" w:space="0" w:color="auto"/>
        <w:bottom w:val="none" w:sz="0" w:space="0" w:color="auto"/>
        <w:right w:val="none" w:sz="0" w:space="0" w:color="auto"/>
      </w:divBdr>
    </w:div>
    <w:div w:id="293487805">
      <w:bodyDiv w:val="1"/>
      <w:marLeft w:val="0"/>
      <w:marRight w:val="0"/>
      <w:marTop w:val="0"/>
      <w:marBottom w:val="0"/>
      <w:divBdr>
        <w:top w:val="none" w:sz="0" w:space="0" w:color="auto"/>
        <w:left w:val="none" w:sz="0" w:space="0" w:color="auto"/>
        <w:bottom w:val="none" w:sz="0" w:space="0" w:color="auto"/>
        <w:right w:val="none" w:sz="0" w:space="0" w:color="auto"/>
      </w:divBdr>
    </w:div>
    <w:div w:id="325591851">
      <w:bodyDiv w:val="1"/>
      <w:marLeft w:val="0"/>
      <w:marRight w:val="0"/>
      <w:marTop w:val="0"/>
      <w:marBottom w:val="0"/>
      <w:divBdr>
        <w:top w:val="none" w:sz="0" w:space="0" w:color="auto"/>
        <w:left w:val="none" w:sz="0" w:space="0" w:color="auto"/>
        <w:bottom w:val="none" w:sz="0" w:space="0" w:color="auto"/>
        <w:right w:val="none" w:sz="0" w:space="0" w:color="auto"/>
      </w:divBdr>
    </w:div>
    <w:div w:id="339897693">
      <w:bodyDiv w:val="1"/>
      <w:marLeft w:val="0"/>
      <w:marRight w:val="0"/>
      <w:marTop w:val="0"/>
      <w:marBottom w:val="0"/>
      <w:divBdr>
        <w:top w:val="none" w:sz="0" w:space="0" w:color="auto"/>
        <w:left w:val="none" w:sz="0" w:space="0" w:color="auto"/>
        <w:bottom w:val="none" w:sz="0" w:space="0" w:color="auto"/>
        <w:right w:val="none" w:sz="0" w:space="0" w:color="auto"/>
      </w:divBdr>
    </w:div>
    <w:div w:id="348141414">
      <w:bodyDiv w:val="1"/>
      <w:marLeft w:val="0"/>
      <w:marRight w:val="0"/>
      <w:marTop w:val="0"/>
      <w:marBottom w:val="0"/>
      <w:divBdr>
        <w:top w:val="none" w:sz="0" w:space="0" w:color="auto"/>
        <w:left w:val="none" w:sz="0" w:space="0" w:color="auto"/>
        <w:bottom w:val="none" w:sz="0" w:space="0" w:color="auto"/>
        <w:right w:val="none" w:sz="0" w:space="0" w:color="auto"/>
      </w:divBdr>
    </w:div>
    <w:div w:id="354582332">
      <w:bodyDiv w:val="1"/>
      <w:marLeft w:val="0"/>
      <w:marRight w:val="0"/>
      <w:marTop w:val="0"/>
      <w:marBottom w:val="0"/>
      <w:divBdr>
        <w:top w:val="none" w:sz="0" w:space="0" w:color="auto"/>
        <w:left w:val="none" w:sz="0" w:space="0" w:color="auto"/>
        <w:bottom w:val="none" w:sz="0" w:space="0" w:color="auto"/>
        <w:right w:val="none" w:sz="0" w:space="0" w:color="auto"/>
      </w:divBdr>
    </w:div>
    <w:div w:id="382876583">
      <w:marLeft w:val="0"/>
      <w:marRight w:val="0"/>
      <w:marTop w:val="0"/>
      <w:marBottom w:val="0"/>
      <w:divBdr>
        <w:top w:val="none" w:sz="0" w:space="0" w:color="auto"/>
        <w:left w:val="none" w:sz="0" w:space="0" w:color="auto"/>
        <w:bottom w:val="none" w:sz="0" w:space="0" w:color="auto"/>
        <w:right w:val="none" w:sz="0" w:space="0" w:color="auto"/>
      </w:divBdr>
    </w:div>
    <w:div w:id="382876584">
      <w:marLeft w:val="0"/>
      <w:marRight w:val="0"/>
      <w:marTop w:val="0"/>
      <w:marBottom w:val="0"/>
      <w:divBdr>
        <w:top w:val="none" w:sz="0" w:space="0" w:color="auto"/>
        <w:left w:val="none" w:sz="0" w:space="0" w:color="auto"/>
        <w:bottom w:val="none" w:sz="0" w:space="0" w:color="auto"/>
        <w:right w:val="none" w:sz="0" w:space="0" w:color="auto"/>
      </w:divBdr>
    </w:div>
    <w:div w:id="382876585">
      <w:marLeft w:val="0"/>
      <w:marRight w:val="0"/>
      <w:marTop w:val="0"/>
      <w:marBottom w:val="0"/>
      <w:divBdr>
        <w:top w:val="none" w:sz="0" w:space="0" w:color="auto"/>
        <w:left w:val="none" w:sz="0" w:space="0" w:color="auto"/>
        <w:bottom w:val="none" w:sz="0" w:space="0" w:color="auto"/>
        <w:right w:val="none" w:sz="0" w:space="0" w:color="auto"/>
      </w:divBdr>
    </w:div>
    <w:div w:id="382876586">
      <w:marLeft w:val="0"/>
      <w:marRight w:val="0"/>
      <w:marTop w:val="0"/>
      <w:marBottom w:val="0"/>
      <w:divBdr>
        <w:top w:val="none" w:sz="0" w:space="0" w:color="auto"/>
        <w:left w:val="none" w:sz="0" w:space="0" w:color="auto"/>
        <w:bottom w:val="none" w:sz="0" w:space="0" w:color="auto"/>
        <w:right w:val="none" w:sz="0" w:space="0" w:color="auto"/>
      </w:divBdr>
    </w:div>
    <w:div w:id="382876588">
      <w:marLeft w:val="0"/>
      <w:marRight w:val="0"/>
      <w:marTop w:val="0"/>
      <w:marBottom w:val="0"/>
      <w:divBdr>
        <w:top w:val="none" w:sz="0" w:space="0" w:color="auto"/>
        <w:left w:val="none" w:sz="0" w:space="0" w:color="auto"/>
        <w:bottom w:val="none" w:sz="0" w:space="0" w:color="auto"/>
        <w:right w:val="none" w:sz="0" w:space="0" w:color="auto"/>
      </w:divBdr>
    </w:div>
    <w:div w:id="382876589">
      <w:marLeft w:val="0"/>
      <w:marRight w:val="0"/>
      <w:marTop w:val="0"/>
      <w:marBottom w:val="0"/>
      <w:divBdr>
        <w:top w:val="none" w:sz="0" w:space="0" w:color="auto"/>
        <w:left w:val="none" w:sz="0" w:space="0" w:color="auto"/>
        <w:bottom w:val="none" w:sz="0" w:space="0" w:color="auto"/>
        <w:right w:val="none" w:sz="0" w:space="0" w:color="auto"/>
      </w:divBdr>
      <w:divsChild>
        <w:div w:id="382876692">
          <w:marLeft w:val="0"/>
          <w:marRight w:val="0"/>
          <w:marTop w:val="0"/>
          <w:marBottom w:val="0"/>
          <w:divBdr>
            <w:top w:val="none" w:sz="0" w:space="0" w:color="auto"/>
            <w:left w:val="none" w:sz="0" w:space="0" w:color="auto"/>
            <w:bottom w:val="none" w:sz="0" w:space="0" w:color="auto"/>
            <w:right w:val="none" w:sz="0" w:space="0" w:color="auto"/>
          </w:divBdr>
        </w:div>
      </w:divsChild>
    </w:div>
    <w:div w:id="382876590">
      <w:marLeft w:val="0"/>
      <w:marRight w:val="0"/>
      <w:marTop w:val="0"/>
      <w:marBottom w:val="0"/>
      <w:divBdr>
        <w:top w:val="none" w:sz="0" w:space="0" w:color="auto"/>
        <w:left w:val="none" w:sz="0" w:space="0" w:color="auto"/>
        <w:bottom w:val="none" w:sz="0" w:space="0" w:color="auto"/>
        <w:right w:val="none" w:sz="0" w:space="0" w:color="auto"/>
      </w:divBdr>
    </w:div>
    <w:div w:id="382876592">
      <w:marLeft w:val="0"/>
      <w:marRight w:val="0"/>
      <w:marTop w:val="0"/>
      <w:marBottom w:val="0"/>
      <w:divBdr>
        <w:top w:val="none" w:sz="0" w:space="0" w:color="auto"/>
        <w:left w:val="none" w:sz="0" w:space="0" w:color="auto"/>
        <w:bottom w:val="none" w:sz="0" w:space="0" w:color="auto"/>
        <w:right w:val="none" w:sz="0" w:space="0" w:color="auto"/>
      </w:divBdr>
    </w:div>
    <w:div w:id="382876594">
      <w:marLeft w:val="0"/>
      <w:marRight w:val="0"/>
      <w:marTop w:val="0"/>
      <w:marBottom w:val="0"/>
      <w:divBdr>
        <w:top w:val="none" w:sz="0" w:space="0" w:color="auto"/>
        <w:left w:val="none" w:sz="0" w:space="0" w:color="auto"/>
        <w:bottom w:val="none" w:sz="0" w:space="0" w:color="auto"/>
        <w:right w:val="none" w:sz="0" w:space="0" w:color="auto"/>
      </w:divBdr>
    </w:div>
    <w:div w:id="382876595">
      <w:marLeft w:val="0"/>
      <w:marRight w:val="0"/>
      <w:marTop w:val="0"/>
      <w:marBottom w:val="0"/>
      <w:divBdr>
        <w:top w:val="none" w:sz="0" w:space="0" w:color="auto"/>
        <w:left w:val="none" w:sz="0" w:space="0" w:color="auto"/>
        <w:bottom w:val="none" w:sz="0" w:space="0" w:color="auto"/>
        <w:right w:val="none" w:sz="0" w:space="0" w:color="auto"/>
      </w:divBdr>
    </w:div>
    <w:div w:id="382876597">
      <w:marLeft w:val="0"/>
      <w:marRight w:val="0"/>
      <w:marTop w:val="0"/>
      <w:marBottom w:val="0"/>
      <w:divBdr>
        <w:top w:val="none" w:sz="0" w:space="0" w:color="auto"/>
        <w:left w:val="none" w:sz="0" w:space="0" w:color="auto"/>
        <w:bottom w:val="none" w:sz="0" w:space="0" w:color="auto"/>
        <w:right w:val="none" w:sz="0" w:space="0" w:color="auto"/>
      </w:divBdr>
    </w:div>
    <w:div w:id="382876598">
      <w:marLeft w:val="0"/>
      <w:marRight w:val="0"/>
      <w:marTop w:val="0"/>
      <w:marBottom w:val="0"/>
      <w:divBdr>
        <w:top w:val="none" w:sz="0" w:space="0" w:color="auto"/>
        <w:left w:val="none" w:sz="0" w:space="0" w:color="auto"/>
        <w:bottom w:val="none" w:sz="0" w:space="0" w:color="auto"/>
        <w:right w:val="none" w:sz="0" w:space="0" w:color="auto"/>
      </w:divBdr>
    </w:div>
    <w:div w:id="382876600">
      <w:marLeft w:val="0"/>
      <w:marRight w:val="0"/>
      <w:marTop w:val="0"/>
      <w:marBottom w:val="0"/>
      <w:divBdr>
        <w:top w:val="none" w:sz="0" w:space="0" w:color="auto"/>
        <w:left w:val="none" w:sz="0" w:space="0" w:color="auto"/>
        <w:bottom w:val="none" w:sz="0" w:space="0" w:color="auto"/>
        <w:right w:val="none" w:sz="0" w:space="0" w:color="auto"/>
      </w:divBdr>
    </w:div>
    <w:div w:id="382876601">
      <w:marLeft w:val="0"/>
      <w:marRight w:val="0"/>
      <w:marTop w:val="0"/>
      <w:marBottom w:val="0"/>
      <w:divBdr>
        <w:top w:val="none" w:sz="0" w:space="0" w:color="auto"/>
        <w:left w:val="none" w:sz="0" w:space="0" w:color="auto"/>
        <w:bottom w:val="none" w:sz="0" w:space="0" w:color="auto"/>
        <w:right w:val="none" w:sz="0" w:space="0" w:color="auto"/>
      </w:divBdr>
      <w:divsChild>
        <w:div w:id="382876603">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04">
      <w:marLeft w:val="0"/>
      <w:marRight w:val="0"/>
      <w:marTop w:val="0"/>
      <w:marBottom w:val="0"/>
      <w:divBdr>
        <w:top w:val="none" w:sz="0" w:space="0" w:color="auto"/>
        <w:left w:val="none" w:sz="0" w:space="0" w:color="auto"/>
        <w:bottom w:val="none" w:sz="0" w:space="0" w:color="auto"/>
        <w:right w:val="none" w:sz="0" w:space="0" w:color="auto"/>
      </w:divBdr>
    </w:div>
    <w:div w:id="382876609">
      <w:marLeft w:val="0"/>
      <w:marRight w:val="0"/>
      <w:marTop w:val="0"/>
      <w:marBottom w:val="0"/>
      <w:divBdr>
        <w:top w:val="none" w:sz="0" w:space="0" w:color="auto"/>
        <w:left w:val="none" w:sz="0" w:space="0" w:color="auto"/>
        <w:bottom w:val="none" w:sz="0" w:space="0" w:color="auto"/>
        <w:right w:val="none" w:sz="0" w:space="0" w:color="auto"/>
      </w:divBdr>
    </w:div>
    <w:div w:id="382876610">
      <w:marLeft w:val="0"/>
      <w:marRight w:val="0"/>
      <w:marTop w:val="0"/>
      <w:marBottom w:val="0"/>
      <w:divBdr>
        <w:top w:val="none" w:sz="0" w:space="0" w:color="auto"/>
        <w:left w:val="none" w:sz="0" w:space="0" w:color="auto"/>
        <w:bottom w:val="none" w:sz="0" w:space="0" w:color="auto"/>
        <w:right w:val="none" w:sz="0" w:space="0" w:color="auto"/>
      </w:divBdr>
    </w:div>
    <w:div w:id="382876612">
      <w:marLeft w:val="0"/>
      <w:marRight w:val="0"/>
      <w:marTop w:val="0"/>
      <w:marBottom w:val="0"/>
      <w:divBdr>
        <w:top w:val="none" w:sz="0" w:space="0" w:color="auto"/>
        <w:left w:val="none" w:sz="0" w:space="0" w:color="auto"/>
        <w:bottom w:val="none" w:sz="0" w:space="0" w:color="auto"/>
        <w:right w:val="none" w:sz="0" w:space="0" w:color="auto"/>
      </w:divBdr>
    </w:div>
    <w:div w:id="382876615">
      <w:marLeft w:val="0"/>
      <w:marRight w:val="0"/>
      <w:marTop w:val="0"/>
      <w:marBottom w:val="0"/>
      <w:divBdr>
        <w:top w:val="none" w:sz="0" w:space="0" w:color="auto"/>
        <w:left w:val="none" w:sz="0" w:space="0" w:color="auto"/>
        <w:bottom w:val="none" w:sz="0" w:space="0" w:color="auto"/>
        <w:right w:val="none" w:sz="0" w:space="0" w:color="auto"/>
      </w:divBdr>
      <w:divsChild>
        <w:div w:id="382876636">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16">
      <w:marLeft w:val="0"/>
      <w:marRight w:val="0"/>
      <w:marTop w:val="0"/>
      <w:marBottom w:val="0"/>
      <w:divBdr>
        <w:top w:val="none" w:sz="0" w:space="0" w:color="auto"/>
        <w:left w:val="none" w:sz="0" w:space="0" w:color="auto"/>
        <w:bottom w:val="none" w:sz="0" w:space="0" w:color="auto"/>
        <w:right w:val="none" w:sz="0" w:space="0" w:color="auto"/>
      </w:divBdr>
    </w:div>
    <w:div w:id="382876617">
      <w:marLeft w:val="0"/>
      <w:marRight w:val="0"/>
      <w:marTop w:val="0"/>
      <w:marBottom w:val="0"/>
      <w:divBdr>
        <w:top w:val="none" w:sz="0" w:space="0" w:color="auto"/>
        <w:left w:val="none" w:sz="0" w:space="0" w:color="auto"/>
        <w:bottom w:val="none" w:sz="0" w:space="0" w:color="auto"/>
        <w:right w:val="none" w:sz="0" w:space="0" w:color="auto"/>
      </w:divBdr>
    </w:div>
    <w:div w:id="382876618">
      <w:marLeft w:val="0"/>
      <w:marRight w:val="0"/>
      <w:marTop w:val="0"/>
      <w:marBottom w:val="0"/>
      <w:divBdr>
        <w:top w:val="none" w:sz="0" w:space="0" w:color="auto"/>
        <w:left w:val="none" w:sz="0" w:space="0" w:color="auto"/>
        <w:bottom w:val="none" w:sz="0" w:space="0" w:color="auto"/>
        <w:right w:val="none" w:sz="0" w:space="0" w:color="auto"/>
      </w:divBdr>
    </w:div>
    <w:div w:id="382876619">
      <w:marLeft w:val="0"/>
      <w:marRight w:val="0"/>
      <w:marTop w:val="0"/>
      <w:marBottom w:val="0"/>
      <w:divBdr>
        <w:top w:val="none" w:sz="0" w:space="0" w:color="auto"/>
        <w:left w:val="none" w:sz="0" w:space="0" w:color="auto"/>
        <w:bottom w:val="none" w:sz="0" w:space="0" w:color="auto"/>
        <w:right w:val="none" w:sz="0" w:space="0" w:color="auto"/>
      </w:divBdr>
    </w:div>
    <w:div w:id="382876621">
      <w:marLeft w:val="0"/>
      <w:marRight w:val="0"/>
      <w:marTop w:val="0"/>
      <w:marBottom w:val="0"/>
      <w:divBdr>
        <w:top w:val="none" w:sz="0" w:space="0" w:color="auto"/>
        <w:left w:val="none" w:sz="0" w:space="0" w:color="auto"/>
        <w:bottom w:val="none" w:sz="0" w:space="0" w:color="auto"/>
        <w:right w:val="none" w:sz="0" w:space="0" w:color="auto"/>
      </w:divBdr>
    </w:div>
    <w:div w:id="382876622">
      <w:marLeft w:val="0"/>
      <w:marRight w:val="0"/>
      <w:marTop w:val="0"/>
      <w:marBottom w:val="0"/>
      <w:divBdr>
        <w:top w:val="none" w:sz="0" w:space="0" w:color="auto"/>
        <w:left w:val="none" w:sz="0" w:space="0" w:color="auto"/>
        <w:bottom w:val="none" w:sz="0" w:space="0" w:color="auto"/>
        <w:right w:val="none" w:sz="0" w:space="0" w:color="auto"/>
      </w:divBdr>
    </w:div>
    <w:div w:id="382876623">
      <w:marLeft w:val="0"/>
      <w:marRight w:val="0"/>
      <w:marTop w:val="0"/>
      <w:marBottom w:val="0"/>
      <w:divBdr>
        <w:top w:val="none" w:sz="0" w:space="0" w:color="auto"/>
        <w:left w:val="none" w:sz="0" w:space="0" w:color="auto"/>
        <w:bottom w:val="none" w:sz="0" w:space="0" w:color="auto"/>
        <w:right w:val="none" w:sz="0" w:space="0" w:color="auto"/>
      </w:divBdr>
    </w:div>
    <w:div w:id="382876625">
      <w:marLeft w:val="0"/>
      <w:marRight w:val="0"/>
      <w:marTop w:val="0"/>
      <w:marBottom w:val="0"/>
      <w:divBdr>
        <w:top w:val="none" w:sz="0" w:space="0" w:color="auto"/>
        <w:left w:val="none" w:sz="0" w:space="0" w:color="auto"/>
        <w:bottom w:val="none" w:sz="0" w:space="0" w:color="auto"/>
        <w:right w:val="none" w:sz="0" w:space="0" w:color="auto"/>
      </w:divBdr>
    </w:div>
    <w:div w:id="382876626">
      <w:marLeft w:val="0"/>
      <w:marRight w:val="0"/>
      <w:marTop w:val="0"/>
      <w:marBottom w:val="0"/>
      <w:divBdr>
        <w:top w:val="none" w:sz="0" w:space="0" w:color="auto"/>
        <w:left w:val="none" w:sz="0" w:space="0" w:color="auto"/>
        <w:bottom w:val="none" w:sz="0" w:space="0" w:color="auto"/>
        <w:right w:val="none" w:sz="0" w:space="0" w:color="auto"/>
      </w:divBdr>
      <w:divsChild>
        <w:div w:id="382876606">
          <w:marLeft w:val="0"/>
          <w:marRight w:val="0"/>
          <w:marTop w:val="0"/>
          <w:marBottom w:val="0"/>
          <w:divBdr>
            <w:top w:val="none" w:sz="0" w:space="0" w:color="auto"/>
            <w:left w:val="none" w:sz="0" w:space="0" w:color="auto"/>
            <w:bottom w:val="none" w:sz="0" w:space="0" w:color="auto"/>
            <w:right w:val="none" w:sz="0" w:space="0" w:color="auto"/>
          </w:divBdr>
        </w:div>
        <w:div w:id="382876620">
          <w:marLeft w:val="0"/>
          <w:marRight w:val="0"/>
          <w:marTop w:val="0"/>
          <w:marBottom w:val="0"/>
          <w:divBdr>
            <w:top w:val="none" w:sz="0" w:space="0" w:color="auto"/>
            <w:left w:val="none" w:sz="0" w:space="0" w:color="auto"/>
            <w:bottom w:val="none" w:sz="0" w:space="0" w:color="auto"/>
            <w:right w:val="none" w:sz="0" w:space="0" w:color="auto"/>
          </w:divBdr>
        </w:div>
      </w:divsChild>
    </w:div>
    <w:div w:id="382876627">
      <w:marLeft w:val="0"/>
      <w:marRight w:val="0"/>
      <w:marTop w:val="0"/>
      <w:marBottom w:val="0"/>
      <w:divBdr>
        <w:top w:val="none" w:sz="0" w:space="0" w:color="auto"/>
        <w:left w:val="none" w:sz="0" w:space="0" w:color="auto"/>
        <w:bottom w:val="none" w:sz="0" w:space="0" w:color="auto"/>
        <w:right w:val="none" w:sz="0" w:space="0" w:color="auto"/>
      </w:divBdr>
    </w:div>
    <w:div w:id="382876628">
      <w:marLeft w:val="0"/>
      <w:marRight w:val="0"/>
      <w:marTop w:val="0"/>
      <w:marBottom w:val="0"/>
      <w:divBdr>
        <w:top w:val="none" w:sz="0" w:space="0" w:color="auto"/>
        <w:left w:val="none" w:sz="0" w:space="0" w:color="auto"/>
        <w:bottom w:val="none" w:sz="0" w:space="0" w:color="auto"/>
        <w:right w:val="none" w:sz="0" w:space="0" w:color="auto"/>
      </w:divBdr>
      <w:divsChild>
        <w:div w:id="382876608">
          <w:marLeft w:val="720"/>
          <w:marRight w:val="720"/>
          <w:marTop w:val="100"/>
          <w:marBottom w:val="100"/>
          <w:divBdr>
            <w:top w:val="none" w:sz="0" w:space="0" w:color="auto"/>
            <w:left w:val="none" w:sz="0" w:space="0" w:color="auto"/>
            <w:bottom w:val="none" w:sz="0" w:space="0" w:color="auto"/>
            <w:right w:val="none" w:sz="0" w:space="0" w:color="auto"/>
          </w:divBdr>
        </w:div>
        <w:div w:id="382876675">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29">
      <w:marLeft w:val="0"/>
      <w:marRight w:val="0"/>
      <w:marTop w:val="72"/>
      <w:marBottom w:val="0"/>
      <w:divBdr>
        <w:top w:val="none" w:sz="0" w:space="0" w:color="auto"/>
        <w:left w:val="none" w:sz="0" w:space="0" w:color="auto"/>
        <w:bottom w:val="none" w:sz="0" w:space="0" w:color="auto"/>
        <w:right w:val="none" w:sz="0" w:space="0" w:color="auto"/>
      </w:divBdr>
      <w:divsChild>
        <w:div w:id="382876657">
          <w:marLeft w:val="0"/>
          <w:marRight w:val="0"/>
          <w:marTop w:val="0"/>
          <w:marBottom w:val="0"/>
          <w:divBdr>
            <w:top w:val="none" w:sz="0" w:space="0" w:color="auto"/>
            <w:left w:val="none" w:sz="0" w:space="0" w:color="auto"/>
            <w:bottom w:val="none" w:sz="0" w:space="0" w:color="auto"/>
            <w:right w:val="none" w:sz="0" w:space="0" w:color="auto"/>
          </w:divBdr>
          <w:divsChild>
            <w:div w:id="382876661">
              <w:marLeft w:val="3270"/>
              <w:marRight w:val="0"/>
              <w:marTop w:val="0"/>
              <w:marBottom w:val="0"/>
              <w:divBdr>
                <w:top w:val="none" w:sz="0" w:space="0" w:color="auto"/>
                <w:left w:val="none" w:sz="0" w:space="0" w:color="auto"/>
                <w:bottom w:val="none" w:sz="0" w:space="0" w:color="auto"/>
                <w:right w:val="none" w:sz="0" w:space="0" w:color="auto"/>
              </w:divBdr>
              <w:divsChild>
                <w:div w:id="382876655">
                  <w:marLeft w:val="120"/>
                  <w:marRight w:val="0"/>
                  <w:marTop w:val="120"/>
                  <w:marBottom w:val="0"/>
                  <w:divBdr>
                    <w:top w:val="none" w:sz="0" w:space="0" w:color="auto"/>
                    <w:left w:val="none" w:sz="0" w:space="0" w:color="auto"/>
                    <w:bottom w:val="none" w:sz="0" w:space="0" w:color="auto"/>
                    <w:right w:val="none" w:sz="0" w:space="0" w:color="auto"/>
                  </w:divBdr>
                  <w:divsChild>
                    <w:div w:id="382876644">
                      <w:marLeft w:val="0"/>
                      <w:marRight w:val="0"/>
                      <w:marTop w:val="0"/>
                      <w:marBottom w:val="0"/>
                      <w:divBdr>
                        <w:top w:val="none" w:sz="0" w:space="0" w:color="auto"/>
                        <w:left w:val="none" w:sz="0" w:space="0" w:color="auto"/>
                        <w:bottom w:val="none" w:sz="0" w:space="0" w:color="auto"/>
                        <w:right w:val="none" w:sz="0" w:space="0" w:color="auto"/>
                      </w:divBdr>
                      <w:divsChild>
                        <w:div w:id="382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6631">
      <w:marLeft w:val="0"/>
      <w:marRight w:val="0"/>
      <w:marTop w:val="0"/>
      <w:marBottom w:val="0"/>
      <w:divBdr>
        <w:top w:val="none" w:sz="0" w:space="0" w:color="auto"/>
        <w:left w:val="none" w:sz="0" w:space="0" w:color="auto"/>
        <w:bottom w:val="none" w:sz="0" w:space="0" w:color="auto"/>
        <w:right w:val="none" w:sz="0" w:space="0" w:color="auto"/>
      </w:divBdr>
      <w:divsChild>
        <w:div w:id="382876613">
          <w:marLeft w:val="0"/>
          <w:marRight w:val="0"/>
          <w:marTop w:val="0"/>
          <w:marBottom w:val="0"/>
          <w:divBdr>
            <w:top w:val="none" w:sz="0" w:space="0" w:color="auto"/>
            <w:left w:val="none" w:sz="0" w:space="0" w:color="auto"/>
            <w:bottom w:val="none" w:sz="0" w:space="0" w:color="auto"/>
            <w:right w:val="none" w:sz="0" w:space="0" w:color="auto"/>
          </w:divBdr>
          <w:divsChild>
            <w:div w:id="382876633">
              <w:marLeft w:val="-2928"/>
              <w:marRight w:val="0"/>
              <w:marTop w:val="0"/>
              <w:marBottom w:val="144"/>
              <w:divBdr>
                <w:top w:val="none" w:sz="0" w:space="0" w:color="auto"/>
                <w:left w:val="none" w:sz="0" w:space="0" w:color="auto"/>
                <w:bottom w:val="none" w:sz="0" w:space="0" w:color="auto"/>
                <w:right w:val="none" w:sz="0" w:space="0" w:color="auto"/>
              </w:divBdr>
              <w:divsChild>
                <w:div w:id="382876624">
                  <w:marLeft w:val="2928"/>
                  <w:marRight w:val="0"/>
                  <w:marTop w:val="672"/>
                  <w:marBottom w:val="0"/>
                  <w:divBdr>
                    <w:top w:val="single" w:sz="6" w:space="0" w:color="AAAAAA"/>
                    <w:left w:val="single" w:sz="6" w:space="0" w:color="AAAAAA"/>
                    <w:bottom w:val="single" w:sz="6" w:space="0" w:color="AAAAAA"/>
                    <w:right w:val="none" w:sz="0" w:space="0" w:color="auto"/>
                  </w:divBdr>
                  <w:divsChild>
                    <w:div w:id="3828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632">
      <w:marLeft w:val="0"/>
      <w:marRight w:val="0"/>
      <w:marTop w:val="0"/>
      <w:marBottom w:val="0"/>
      <w:divBdr>
        <w:top w:val="none" w:sz="0" w:space="0" w:color="auto"/>
        <w:left w:val="none" w:sz="0" w:space="0" w:color="auto"/>
        <w:bottom w:val="none" w:sz="0" w:space="0" w:color="auto"/>
        <w:right w:val="none" w:sz="0" w:space="0" w:color="auto"/>
      </w:divBdr>
      <w:divsChild>
        <w:div w:id="382876614">
          <w:marLeft w:val="0"/>
          <w:marRight w:val="0"/>
          <w:marTop w:val="0"/>
          <w:marBottom w:val="0"/>
          <w:divBdr>
            <w:top w:val="none" w:sz="0" w:space="0" w:color="auto"/>
            <w:left w:val="none" w:sz="0" w:space="0" w:color="auto"/>
            <w:bottom w:val="none" w:sz="0" w:space="0" w:color="auto"/>
            <w:right w:val="none" w:sz="0" w:space="0" w:color="auto"/>
          </w:divBdr>
          <w:divsChild>
            <w:div w:id="382876641">
              <w:marLeft w:val="0"/>
              <w:marRight w:val="0"/>
              <w:marTop w:val="360"/>
              <w:marBottom w:val="0"/>
              <w:divBdr>
                <w:top w:val="none" w:sz="0" w:space="0" w:color="auto"/>
                <w:left w:val="none" w:sz="0" w:space="0" w:color="auto"/>
                <w:bottom w:val="none" w:sz="0" w:space="0" w:color="auto"/>
                <w:right w:val="none" w:sz="0" w:space="0" w:color="auto"/>
              </w:divBdr>
              <w:divsChild>
                <w:div w:id="382876656">
                  <w:marLeft w:val="120"/>
                  <w:marRight w:val="0"/>
                  <w:marTop w:val="0"/>
                  <w:marBottom w:val="0"/>
                  <w:divBdr>
                    <w:top w:val="none" w:sz="0" w:space="0" w:color="auto"/>
                    <w:left w:val="none" w:sz="0" w:space="0" w:color="auto"/>
                    <w:bottom w:val="none" w:sz="0" w:space="0" w:color="auto"/>
                    <w:right w:val="none" w:sz="0" w:space="0" w:color="auto"/>
                  </w:divBdr>
                  <w:divsChild>
                    <w:div w:id="3828766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634">
      <w:marLeft w:val="0"/>
      <w:marRight w:val="0"/>
      <w:marTop w:val="0"/>
      <w:marBottom w:val="0"/>
      <w:divBdr>
        <w:top w:val="none" w:sz="0" w:space="0" w:color="auto"/>
        <w:left w:val="none" w:sz="0" w:space="0" w:color="auto"/>
        <w:bottom w:val="none" w:sz="0" w:space="0" w:color="auto"/>
        <w:right w:val="none" w:sz="0" w:space="0" w:color="auto"/>
      </w:divBdr>
    </w:div>
    <w:div w:id="382876635">
      <w:marLeft w:val="0"/>
      <w:marRight w:val="0"/>
      <w:marTop w:val="0"/>
      <w:marBottom w:val="0"/>
      <w:divBdr>
        <w:top w:val="none" w:sz="0" w:space="0" w:color="auto"/>
        <w:left w:val="none" w:sz="0" w:space="0" w:color="auto"/>
        <w:bottom w:val="none" w:sz="0" w:space="0" w:color="auto"/>
        <w:right w:val="none" w:sz="0" w:space="0" w:color="auto"/>
      </w:divBdr>
    </w:div>
    <w:div w:id="382876637">
      <w:marLeft w:val="0"/>
      <w:marRight w:val="0"/>
      <w:marTop w:val="0"/>
      <w:marBottom w:val="0"/>
      <w:divBdr>
        <w:top w:val="none" w:sz="0" w:space="0" w:color="auto"/>
        <w:left w:val="none" w:sz="0" w:space="0" w:color="auto"/>
        <w:bottom w:val="none" w:sz="0" w:space="0" w:color="auto"/>
        <w:right w:val="none" w:sz="0" w:space="0" w:color="auto"/>
      </w:divBdr>
    </w:div>
    <w:div w:id="382876639">
      <w:marLeft w:val="0"/>
      <w:marRight w:val="0"/>
      <w:marTop w:val="0"/>
      <w:marBottom w:val="0"/>
      <w:divBdr>
        <w:top w:val="none" w:sz="0" w:space="0" w:color="auto"/>
        <w:left w:val="none" w:sz="0" w:space="0" w:color="auto"/>
        <w:bottom w:val="none" w:sz="0" w:space="0" w:color="auto"/>
        <w:right w:val="none" w:sz="0" w:space="0" w:color="auto"/>
      </w:divBdr>
    </w:div>
    <w:div w:id="382876645">
      <w:marLeft w:val="0"/>
      <w:marRight w:val="0"/>
      <w:marTop w:val="0"/>
      <w:marBottom w:val="0"/>
      <w:divBdr>
        <w:top w:val="none" w:sz="0" w:space="0" w:color="auto"/>
        <w:left w:val="none" w:sz="0" w:space="0" w:color="auto"/>
        <w:bottom w:val="none" w:sz="0" w:space="0" w:color="auto"/>
        <w:right w:val="none" w:sz="0" w:space="0" w:color="auto"/>
      </w:divBdr>
    </w:div>
    <w:div w:id="382876646">
      <w:marLeft w:val="0"/>
      <w:marRight w:val="0"/>
      <w:marTop w:val="0"/>
      <w:marBottom w:val="0"/>
      <w:divBdr>
        <w:top w:val="none" w:sz="0" w:space="0" w:color="auto"/>
        <w:left w:val="none" w:sz="0" w:space="0" w:color="auto"/>
        <w:bottom w:val="none" w:sz="0" w:space="0" w:color="auto"/>
        <w:right w:val="none" w:sz="0" w:space="0" w:color="auto"/>
      </w:divBdr>
    </w:div>
    <w:div w:id="382876647">
      <w:marLeft w:val="0"/>
      <w:marRight w:val="0"/>
      <w:marTop w:val="0"/>
      <w:marBottom w:val="0"/>
      <w:divBdr>
        <w:top w:val="none" w:sz="0" w:space="0" w:color="auto"/>
        <w:left w:val="none" w:sz="0" w:space="0" w:color="auto"/>
        <w:bottom w:val="none" w:sz="0" w:space="0" w:color="auto"/>
        <w:right w:val="none" w:sz="0" w:space="0" w:color="auto"/>
      </w:divBdr>
    </w:div>
    <w:div w:id="382876648">
      <w:marLeft w:val="0"/>
      <w:marRight w:val="0"/>
      <w:marTop w:val="0"/>
      <w:marBottom w:val="0"/>
      <w:divBdr>
        <w:top w:val="none" w:sz="0" w:space="0" w:color="auto"/>
        <w:left w:val="none" w:sz="0" w:space="0" w:color="auto"/>
        <w:bottom w:val="none" w:sz="0" w:space="0" w:color="auto"/>
        <w:right w:val="none" w:sz="0" w:space="0" w:color="auto"/>
      </w:divBdr>
    </w:div>
    <w:div w:id="382876649">
      <w:marLeft w:val="0"/>
      <w:marRight w:val="0"/>
      <w:marTop w:val="0"/>
      <w:marBottom w:val="0"/>
      <w:divBdr>
        <w:top w:val="none" w:sz="0" w:space="0" w:color="auto"/>
        <w:left w:val="none" w:sz="0" w:space="0" w:color="auto"/>
        <w:bottom w:val="none" w:sz="0" w:space="0" w:color="auto"/>
        <w:right w:val="none" w:sz="0" w:space="0" w:color="auto"/>
      </w:divBdr>
    </w:div>
    <w:div w:id="382876650">
      <w:marLeft w:val="0"/>
      <w:marRight w:val="0"/>
      <w:marTop w:val="0"/>
      <w:marBottom w:val="0"/>
      <w:divBdr>
        <w:top w:val="none" w:sz="0" w:space="0" w:color="auto"/>
        <w:left w:val="none" w:sz="0" w:space="0" w:color="auto"/>
        <w:bottom w:val="none" w:sz="0" w:space="0" w:color="auto"/>
        <w:right w:val="none" w:sz="0" w:space="0" w:color="auto"/>
      </w:divBdr>
    </w:div>
    <w:div w:id="382876652">
      <w:marLeft w:val="0"/>
      <w:marRight w:val="0"/>
      <w:marTop w:val="0"/>
      <w:marBottom w:val="0"/>
      <w:divBdr>
        <w:top w:val="none" w:sz="0" w:space="0" w:color="auto"/>
        <w:left w:val="none" w:sz="0" w:space="0" w:color="auto"/>
        <w:bottom w:val="none" w:sz="0" w:space="0" w:color="auto"/>
        <w:right w:val="none" w:sz="0" w:space="0" w:color="auto"/>
      </w:divBdr>
    </w:div>
    <w:div w:id="382876654">
      <w:marLeft w:val="0"/>
      <w:marRight w:val="0"/>
      <w:marTop w:val="0"/>
      <w:marBottom w:val="0"/>
      <w:divBdr>
        <w:top w:val="none" w:sz="0" w:space="0" w:color="auto"/>
        <w:left w:val="none" w:sz="0" w:space="0" w:color="auto"/>
        <w:bottom w:val="none" w:sz="0" w:space="0" w:color="auto"/>
        <w:right w:val="none" w:sz="0" w:space="0" w:color="auto"/>
      </w:divBdr>
    </w:div>
    <w:div w:id="382876659">
      <w:marLeft w:val="0"/>
      <w:marRight w:val="0"/>
      <w:marTop w:val="0"/>
      <w:marBottom w:val="0"/>
      <w:divBdr>
        <w:top w:val="none" w:sz="0" w:space="0" w:color="auto"/>
        <w:left w:val="none" w:sz="0" w:space="0" w:color="auto"/>
        <w:bottom w:val="none" w:sz="0" w:space="0" w:color="auto"/>
        <w:right w:val="none" w:sz="0" w:space="0" w:color="auto"/>
      </w:divBdr>
    </w:div>
    <w:div w:id="382876660">
      <w:marLeft w:val="0"/>
      <w:marRight w:val="0"/>
      <w:marTop w:val="0"/>
      <w:marBottom w:val="0"/>
      <w:divBdr>
        <w:top w:val="none" w:sz="0" w:space="0" w:color="auto"/>
        <w:left w:val="none" w:sz="0" w:space="0" w:color="auto"/>
        <w:bottom w:val="none" w:sz="0" w:space="0" w:color="auto"/>
        <w:right w:val="none" w:sz="0" w:space="0" w:color="auto"/>
      </w:divBdr>
    </w:div>
    <w:div w:id="382876662">
      <w:marLeft w:val="0"/>
      <w:marRight w:val="0"/>
      <w:marTop w:val="0"/>
      <w:marBottom w:val="0"/>
      <w:divBdr>
        <w:top w:val="none" w:sz="0" w:space="0" w:color="auto"/>
        <w:left w:val="none" w:sz="0" w:space="0" w:color="auto"/>
        <w:bottom w:val="none" w:sz="0" w:space="0" w:color="auto"/>
        <w:right w:val="none" w:sz="0" w:space="0" w:color="auto"/>
      </w:divBdr>
    </w:div>
    <w:div w:id="382876663">
      <w:marLeft w:val="0"/>
      <w:marRight w:val="0"/>
      <w:marTop w:val="0"/>
      <w:marBottom w:val="0"/>
      <w:divBdr>
        <w:top w:val="none" w:sz="0" w:space="0" w:color="auto"/>
        <w:left w:val="none" w:sz="0" w:space="0" w:color="auto"/>
        <w:bottom w:val="none" w:sz="0" w:space="0" w:color="auto"/>
        <w:right w:val="none" w:sz="0" w:space="0" w:color="auto"/>
      </w:divBdr>
    </w:div>
    <w:div w:id="382876664">
      <w:marLeft w:val="0"/>
      <w:marRight w:val="0"/>
      <w:marTop w:val="0"/>
      <w:marBottom w:val="0"/>
      <w:divBdr>
        <w:top w:val="none" w:sz="0" w:space="0" w:color="auto"/>
        <w:left w:val="none" w:sz="0" w:space="0" w:color="auto"/>
        <w:bottom w:val="none" w:sz="0" w:space="0" w:color="auto"/>
        <w:right w:val="none" w:sz="0" w:space="0" w:color="auto"/>
      </w:divBdr>
    </w:div>
    <w:div w:id="382876665">
      <w:marLeft w:val="0"/>
      <w:marRight w:val="0"/>
      <w:marTop w:val="72"/>
      <w:marBottom w:val="0"/>
      <w:divBdr>
        <w:top w:val="none" w:sz="0" w:space="0" w:color="auto"/>
        <w:left w:val="none" w:sz="0" w:space="0" w:color="auto"/>
        <w:bottom w:val="none" w:sz="0" w:space="0" w:color="auto"/>
        <w:right w:val="none" w:sz="0" w:space="0" w:color="auto"/>
      </w:divBdr>
      <w:divsChild>
        <w:div w:id="382876642">
          <w:marLeft w:val="0"/>
          <w:marRight w:val="0"/>
          <w:marTop w:val="0"/>
          <w:marBottom w:val="0"/>
          <w:divBdr>
            <w:top w:val="none" w:sz="0" w:space="0" w:color="auto"/>
            <w:left w:val="none" w:sz="0" w:space="0" w:color="auto"/>
            <w:bottom w:val="none" w:sz="0" w:space="0" w:color="auto"/>
            <w:right w:val="none" w:sz="0" w:space="0" w:color="auto"/>
          </w:divBdr>
          <w:divsChild>
            <w:div w:id="382876676">
              <w:marLeft w:val="2616"/>
              <w:marRight w:val="0"/>
              <w:marTop w:val="0"/>
              <w:marBottom w:val="0"/>
              <w:divBdr>
                <w:top w:val="none" w:sz="0" w:space="0" w:color="auto"/>
                <w:left w:val="none" w:sz="0" w:space="0" w:color="auto"/>
                <w:bottom w:val="none" w:sz="0" w:space="0" w:color="auto"/>
                <w:right w:val="none" w:sz="0" w:space="0" w:color="auto"/>
              </w:divBdr>
              <w:divsChild>
                <w:div w:id="382876667">
                  <w:marLeft w:val="120"/>
                  <w:marRight w:val="0"/>
                  <w:marTop w:val="120"/>
                  <w:marBottom w:val="0"/>
                  <w:divBdr>
                    <w:top w:val="none" w:sz="0" w:space="0" w:color="auto"/>
                    <w:left w:val="none" w:sz="0" w:space="0" w:color="auto"/>
                    <w:bottom w:val="none" w:sz="0" w:space="0" w:color="auto"/>
                    <w:right w:val="none" w:sz="0" w:space="0" w:color="auto"/>
                  </w:divBdr>
                  <w:divsChild>
                    <w:div w:id="382876658">
                      <w:marLeft w:val="0"/>
                      <w:marRight w:val="0"/>
                      <w:marTop w:val="0"/>
                      <w:marBottom w:val="0"/>
                      <w:divBdr>
                        <w:top w:val="none" w:sz="0" w:space="0" w:color="auto"/>
                        <w:left w:val="none" w:sz="0" w:space="0" w:color="auto"/>
                        <w:bottom w:val="none" w:sz="0" w:space="0" w:color="auto"/>
                        <w:right w:val="none" w:sz="0" w:space="0" w:color="auto"/>
                      </w:divBdr>
                      <w:divsChild>
                        <w:div w:id="382876666">
                          <w:marLeft w:val="0"/>
                          <w:marRight w:val="0"/>
                          <w:marTop w:val="0"/>
                          <w:marBottom w:val="0"/>
                          <w:divBdr>
                            <w:top w:val="none" w:sz="0" w:space="0" w:color="auto"/>
                            <w:left w:val="none" w:sz="0" w:space="0" w:color="auto"/>
                            <w:bottom w:val="none" w:sz="0" w:space="0" w:color="auto"/>
                            <w:right w:val="none" w:sz="0" w:space="0" w:color="auto"/>
                          </w:divBdr>
                          <w:divsChild>
                            <w:div w:id="382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76670">
      <w:marLeft w:val="0"/>
      <w:marRight w:val="0"/>
      <w:marTop w:val="0"/>
      <w:marBottom w:val="0"/>
      <w:divBdr>
        <w:top w:val="none" w:sz="0" w:space="0" w:color="auto"/>
        <w:left w:val="none" w:sz="0" w:space="0" w:color="auto"/>
        <w:bottom w:val="none" w:sz="0" w:space="0" w:color="auto"/>
        <w:right w:val="none" w:sz="0" w:space="0" w:color="auto"/>
      </w:divBdr>
      <w:divsChild>
        <w:div w:id="382876653">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71">
      <w:marLeft w:val="0"/>
      <w:marRight w:val="0"/>
      <w:marTop w:val="0"/>
      <w:marBottom w:val="0"/>
      <w:divBdr>
        <w:top w:val="none" w:sz="0" w:space="0" w:color="auto"/>
        <w:left w:val="none" w:sz="0" w:space="0" w:color="auto"/>
        <w:bottom w:val="none" w:sz="0" w:space="0" w:color="auto"/>
        <w:right w:val="none" w:sz="0" w:space="0" w:color="auto"/>
      </w:divBdr>
    </w:div>
    <w:div w:id="382876672">
      <w:marLeft w:val="0"/>
      <w:marRight w:val="0"/>
      <w:marTop w:val="0"/>
      <w:marBottom w:val="0"/>
      <w:divBdr>
        <w:top w:val="none" w:sz="0" w:space="0" w:color="auto"/>
        <w:left w:val="none" w:sz="0" w:space="0" w:color="auto"/>
        <w:bottom w:val="none" w:sz="0" w:space="0" w:color="auto"/>
        <w:right w:val="none" w:sz="0" w:space="0" w:color="auto"/>
      </w:divBdr>
    </w:div>
    <w:div w:id="382876673">
      <w:marLeft w:val="0"/>
      <w:marRight w:val="0"/>
      <w:marTop w:val="0"/>
      <w:marBottom w:val="0"/>
      <w:divBdr>
        <w:top w:val="none" w:sz="0" w:space="0" w:color="auto"/>
        <w:left w:val="none" w:sz="0" w:space="0" w:color="auto"/>
        <w:bottom w:val="none" w:sz="0" w:space="0" w:color="auto"/>
        <w:right w:val="none" w:sz="0" w:space="0" w:color="auto"/>
      </w:divBdr>
    </w:div>
    <w:div w:id="382876677">
      <w:marLeft w:val="0"/>
      <w:marRight w:val="0"/>
      <w:marTop w:val="0"/>
      <w:marBottom w:val="0"/>
      <w:divBdr>
        <w:top w:val="none" w:sz="0" w:space="0" w:color="auto"/>
        <w:left w:val="none" w:sz="0" w:space="0" w:color="auto"/>
        <w:bottom w:val="none" w:sz="0" w:space="0" w:color="auto"/>
        <w:right w:val="none" w:sz="0" w:space="0" w:color="auto"/>
      </w:divBdr>
    </w:div>
    <w:div w:id="382876678">
      <w:marLeft w:val="0"/>
      <w:marRight w:val="0"/>
      <w:marTop w:val="0"/>
      <w:marBottom w:val="0"/>
      <w:divBdr>
        <w:top w:val="none" w:sz="0" w:space="0" w:color="auto"/>
        <w:left w:val="none" w:sz="0" w:space="0" w:color="auto"/>
        <w:bottom w:val="none" w:sz="0" w:space="0" w:color="auto"/>
        <w:right w:val="none" w:sz="0" w:space="0" w:color="auto"/>
      </w:divBdr>
    </w:div>
    <w:div w:id="382876679">
      <w:marLeft w:val="0"/>
      <w:marRight w:val="0"/>
      <w:marTop w:val="72"/>
      <w:marBottom w:val="0"/>
      <w:divBdr>
        <w:top w:val="none" w:sz="0" w:space="0" w:color="auto"/>
        <w:left w:val="none" w:sz="0" w:space="0" w:color="auto"/>
        <w:bottom w:val="none" w:sz="0" w:space="0" w:color="auto"/>
        <w:right w:val="none" w:sz="0" w:space="0" w:color="auto"/>
      </w:divBdr>
      <w:divsChild>
        <w:div w:id="382876651">
          <w:marLeft w:val="0"/>
          <w:marRight w:val="0"/>
          <w:marTop w:val="0"/>
          <w:marBottom w:val="0"/>
          <w:divBdr>
            <w:top w:val="none" w:sz="0" w:space="0" w:color="auto"/>
            <w:left w:val="none" w:sz="0" w:space="0" w:color="auto"/>
            <w:bottom w:val="none" w:sz="0" w:space="0" w:color="auto"/>
            <w:right w:val="none" w:sz="0" w:space="0" w:color="auto"/>
          </w:divBdr>
          <w:divsChild>
            <w:div w:id="382876674">
              <w:marLeft w:val="2616"/>
              <w:marRight w:val="0"/>
              <w:marTop w:val="0"/>
              <w:marBottom w:val="0"/>
              <w:divBdr>
                <w:top w:val="none" w:sz="0" w:space="0" w:color="auto"/>
                <w:left w:val="none" w:sz="0" w:space="0" w:color="auto"/>
                <w:bottom w:val="none" w:sz="0" w:space="0" w:color="auto"/>
                <w:right w:val="none" w:sz="0" w:space="0" w:color="auto"/>
              </w:divBdr>
              <w:divsChild>
                <w:div w:id="382876640">
                  <w:marLeft w:val="120"/>
                  <w:marRight w:val="0"/>
                  <w:marTop w:val="120"/>
                  <w:marBottom w:val="0"/>
                  <w:divBdr>
                    <w:top w:val="none" w:sz="0" w:space="0" w:color="auto"/>
                    <w:left w:val="none" w:sz="0" w:space="0" w:color="auto"/>
                    <w:bottom w:val="none" w:sz="0" w:space="0" w:color="auto"/>
                    <w:right w:val="none" w:sz="0" w:space="0" w:color="auto"/>
                  </w:divBdr>
                  <w:divsChild>
                    <w:div w:id="382876611">
                      <w:marLeft w:val="0"/>
                      <w:marRight w:val="0"/>
                      <w:marTop w:val="0"/>
                      <w:marBottom w:val="0"/>
                      <w:divBdr>
                        <w:top w:val="none" w:sz="0" w:space="0" w:color="auto"/>
                        <w:left w:val="none" w:sz="0" w:space="0" w:color="auto"/>
                        <w:bottom w:val="none" w:sz="0" w:space="0" w:color="auto"/>
                        <w:right w:val="none" w:sz="0" w:space="0" w:color="auto"/>
                      </w:divBdr>
                      <w:divsChild>
                        <w:div w:id="382876643">
                          <w:marLeft w:val="0"/>
                          <w:marRight w:val="0"/>
                          <w:marTop w:val="0"/>
                          <w:marBottom w:val="0"/>
                          <w:divBdr>
                            <w:top w:val="none" w:sz="0" w:space="0" w:color="auto"/>
                            <w:left w:val="none" w:sz="0" w:space="0" w:color="auto"/>
                            <w:bottom w:val="none" w:sz="0" w:space="0" w:color="auto"/>
                            <w:right w:val="none" w:sz="0" w:space="0" w:color="auto"/>
                          </w:divBdr>
                          <w:divsChild>
                            <w:div w:id="3828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76680">
      <w:marLeft w:val="0"/>
      <w:marRight w:val="0"/>
      <w:marTop w:val="0"/>
      <w:marBottom w:val="0"/>
      <w:divBdr>
        <w:top w:val="none" w:sz="0" w:space="0" w:color="auto"/>
        <w:left w:val="none" w:sz="0" w:space="0" w:color="auto"/>
        <w:bottom w:val="none" w:sz="0" w:space="0" w:color="auto"/>
        <w:right w:val="none" w:sz="0" w:space="0" w:color="auto"/>
      </w:divBdr>
    </w:div>
    <w:div w:id="382876681">
      <w:marLeft w:val="0"/>
      <w:marRight w:val="0"/>
      <w:marTop w:val="0"/>
      <w:marBottom w:val="0"/>
      <w:divBdr>
        <w:top w:val="none" w:sz="0" w:space="0" w:color="auto"/>
        <w:left w:val="none" w:sz="0" w:space="0" w:color="auto"/>
        <w:bottom w:val="none" w:sz="0" w:space="0" w:color="auto"/>
        <w:right w:val="none" w:sz="0" w:space="0" w:color="auto"/>
      </w:divBdr>
    </w:div>
    <w:div w:id="382876682">
      <w:marLeft w:val="0"/>
      <w:marRight w:val="0"/>
      <w:marTop w:val="0"/>
      <w:marBottom w:val="0"/>
      <w:divBdr>
        <w:top w:val="none" w:sz="0" w:space="0" w:color="auto"/>
        <w:left w:val="none" w:sz="0" w:space="0" w:color="auto"/>
        <w:bottom w:val="none" w:sz="0" w:space="0" w:color="auto"/>
        <w:right w:val="none" w:sz="0" w:space="0" w:color="auto"/>
      </w:divBdr>
    </w:div>
    <w:div w:id="382876683">
      <w:marLeft w:val="0"/>
      <w:marRight w:val="0"/>
      <w:marTop w:val="0"/>
      <w:marBottom w:val="0"/>
      <w:divBdr>
        <w:top w:val="none" w:sz="0" w:space="0" w:color="auto"/>
        <w:left w:val="none" w:sz="0" w:space="0" w:color="auto"/>
        <w:bottom w:val="none" w:sz="0" w:space="0" w:color="auto"/>
        <w:right w:val="none" w:sz="0" w:space="0" w:color="auto"/>
      </w:divBdr>
      <w:divsChild>
        <w:div w:id="382876591">
          <w:marLeft w:val="0"/>
          <w:marRight w:val="0"/>
          <w:marTop w:val="0"/>
          <w:marBottom w:val="0"/>
          <w:divBdr>
            <w:top w:val="none" w:sz="0" w:space="0" w:color="auto"/>
            <w:left w:val="none" w:sz="0" w:space="0" w:color="auto"/>
            <w:bottom w:val="none" w:sz="0" w:space="0" w:color="auto"/>
            <w:right w:val="none" w:sz="0" w:space="0" w:color="auto"/>
          </w:divBdr>
          <w:divsChild>
            <w:div w:id="382876602">
              <w:marLeft w:val="0"/>
              <w:marRight w:val="0"/>
              <w:marTop w:val="0"/>
              <w:marBottom w:val="0"/>
              <w:divBdr>
                <w:top w:val="none" w:sz="0" w:space="0" w:color="auto"/>
                <w:left w:val="none" w:sz="0" w:space="0" w:color="auto"/>
                <w:bottom w:val="none" w:sz="0" w:space="0" w:color="auto"/>
                <w:right w:val="none" w:sz="0" w:space="0" w:color="auto"/>
              </w:divBdr>
              <w:divsChild>
                <w:div w:id="382876596">
                  <w:marLeft w:val="0"/>
                  <w:marRight w:val="0"/>
                  <w:marTop w:val="0"/>
                  <w:marBottom w:val="0"/>
                  <w:divBdr>
                    <w:top w:val="none" w:sz="0" w:space="0" w:color="auto"/>
                    <w:left w:val="none" w:sz="0" w:space="0" w:color="auto"/>
                    <w:bottom w:val="none" w:sz="0" w:space="0" w:color="auto"/>
                    <w:right w:val="none" w:sz="0" w:space="0" w:color="auto"/>
                  </w:divBdr>
                  <w:divsChild>
                    <w:div w:id="382876593">
                      <w:marLeft w:val="0"/>
                      <w:marRight w:val="0"/>
                      <w:marTop w:val="0"/>
                      <w:marBottom w:val="0"/>
                      <w:divBdr>
                        <w:top w:val="none" w:sz="0" w:space="0" w:color="auto"/>
                        <w:left w:val="none" w:sz="0" w:space="0" w:color="auto"/>
                        <w:bottom w:val="none" w:sz="0" w:space="0" w:color="auto"/>
                        <w:right w:val="none" w:sz="0" w:space="0" w:color="auto"/>
                      </w:divBdr>
                      <w:divsChild>
                        <w:div w:id="382876605">
                          <w:marLeft w:val="0"/>
                          <w:marRight w:val="0"/>
                          <w:marTop w:val="0"/>
                          <w:marBottom w:val="0"/>
                          <w:divBdr>
                            <w:top w:val="none" w:sz="0" w:space="0" w:color="auto"/>
                            <w:left w:val="none" w:sz="0" w:space="0" w:color="auto"/>
                            <w:bottom w:val="none" w:sz="0" w:space="0" w:color="auto"/>
                            <w:right w:val="none" w:sz="0" w:space="0" w:color="auto"/>
                          </w:divBdr>
                          <w:divsChild>
                            <w:div w:id="382876599">
                              <w:marLeft w:val="0"/>
                              <w:marRight w:val="0"/>
                              <w:marTop w:val="0"/>
                              <w:marBottom w:val="0"/>
                              <w:divBdr>
                                <w:top w:val="none" w:sz="0" w:space="0" w:color="auto"/>
                                <w:left w:val="none" w:sz="0" w:space="0" w:color="auto"/>
                                <w:bottom w:val="none" w:sz="0" w:space="0" w:color="auto"/>
                                <w:right w:val="none" w:sz="0" w:space="0" w:color="auto"/>
                              </w:divBdr>
                            </w:div>
                            <w:div w:id="382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76684">
      <w:marLeft w:val="0"/>
      <w:marRight w:val="0"/>
      <w:marTop w:val="0"/>
      <w:marBottom w:val="0"/>
      <w:divBdr>
        <w:top w:val="none" w:sz="0" w:space="0" w:color="auto"/>
        <w:left w:val="none" w:sz="0" w:space="0" w:color="auto"/>
        <w:bottom w:val="none" w:sz="0" w:space="0" w:color="auto"/>
        <w:right w:val="none" w:sz="0" w:space="0" w:color="auto"/>
      </w:divBdr>
    </w:div>
    <w:div w:id="382876685">
      <w:marLeft w:val="0"/>
      <w:marRight w:val="0"/>
      <w:marTop w:val="0"/>
      <w:marBottom w:val="0"/>
      <w:divBdr>
        <w:top w:val="none" w:sz="0" w:space="0" w:color="auto"/>
        <w:left w:val="none" w:sz="0" w:space="0" w:color="auto"/>
        <w:bottom w:val="none" w:sz="0" w:space="0" w:color="auto"/>
        <w:right w:val="none" w:sz="0" w:space="0" w:color="auto"/>
      </w:divBdr>
    </w:div>
    <w:div w:id="382876686">
      <w:marLeft w:val="0"/>
      <w:marRight w:val="0"/>
      <w:marTop w:val="0"/>
      <w:marBottom w:val="0"/>
      <w:divBdr>
        <w:top w:val="none" w:sz="0" w:space="0" w:color="auto"/>
        <w:left w:val="none" w:sz="0" w:space="0" w:color="auto"/>
        <w:bottom w:val="none" w:sz="0" w:space="0" w:color="auto"/>
        <w:right w:val="none" w:sz="0" w:space="0" w:color="auto"/>
      </w:divBdr>
    </w:div>
    <w:div w:id="382876687">
      <w:marLeft w:val="0"/>
      <w:marRight w:val="0"/>
      <w:marTop w:val="0"/>
      <w:marBottom w:val="0"/>
      <w:divBdr>
        <w:top w:val="none" w:sz="0" w:space="0" w:color="auto"/>
        <w:left w:val="none" w:sz="0" w:space="0" w:color="auto"/>
        <w:bottom w:val="none" w:sz="0" w:space="0" w:color="auto"/>
        <w:right w:val="none" w:sz="0" w:space="0" w:color="auto"/>
      </w:divBdr>
      <w:divsChild>
        <w:div w:id="382876587">
          <w:marLeft w:val="0"/>
          <w:marRight w:val="0"/>
          <w:marTop w:val="0"/>
          <w:marBottom w:val="0"/>
          <w:divBdr>
            <w:top w:val="none" w:sz="0" w:space="0" w:color="auto"/>
            <w:left w:val="none" w:sz="0" w:space="0" w:color="auto"/>
            <w:bottom w:val="none" w:sz="0" w:space="0" w:color="auto"/>
            <w:right w:val="none" w:sz="0" w:space="0" w:color="auto"/>
          </w:divBdr>
        </w:div>
        <w:div w:id="382876689">
          <w:marLeft w:val="0"/>
          <w:marRight w:val="0"/>
          <w:marTop w:val="0"/>
          <w:marBottom w:val="0"/>
          <w:divBdr>
            <w:top w:val="none" w:sz="0" w:space="0" w:color="auto"/>
            <w:left w:val="none" w:sz="0" w:space="0" w:color="auto"/>
            <w:bottom w:val="none" w:sz="0" w:space="0" w:color="auto"/>
            <w:right w:val="none" w:sz="0" w:space="0" w:color="auto"/>
          </w:divBdr>
        </w:div>
        <w:div w:id="382876694">
          <w:marLeft w:val="0"/>
          <w:marRight w:val="0"/>
          <w:marTop w:val="0"/>
          <w:marBottom w:val="0"/>
          <w:divBdr>
            <w:top w:val="none" w:sz="0" w:space="0" w:color="auto"/>
            <w:left w:val="none" w:sz="0" w:space="0" w:color="auto"/>
            <w:bottom w:val="none" w:sz="0" w:space="0" w:color="auto"/>
            <w:right w:val="none" w:sz="0" w:space="0" w:color="auto"/>
          </w:divBdr>
        </w:div>
      </w:divsChild>
    </w:div>
    <w:div w:id="382876688">
      <w:marLeft w:val="0"/>
      <w:marRight w:val="0"/>
      <w:marTop w:val="0"/>
      <w:marBottom w:val="0"/>
      <w:divBdr>
        <w:top w:val="none" w:sz="0" w:space="0" w:color="auto"/>
        <w:left w:val="none" w:sz="0" w:space="0" w:color="auto"/>
        <w:bottom w:val="none" w:sz="0" w:space="0" w:color="auto"/>
        <w:right w:val="none" w:sz="0" w:space="0" w:color="auto"/>
      </w:divBdr>
    </w:div>
    <w:div w:id="382876690">
      <w:marLeft w:val="0"/>
      <w:marRight w:val="0"/>
      <w:marTop w:val="0"/>
      <w:marBottom w:val="0"/>
      <w:divBdr>
        <w:top w:val="none" w:sz="0" w:space="0" w:color="auto"/>
        <w:left w:val="none" w:sz="0" w:space="0" w:color="auto"/>
        <w:bottom w:val="none" w:sz="0" w:space="0" w:color="auto"/>
        <w:right w:val="none" w:sz="0" w:space="0" w:color="auto"/>
      </w:divBdr>
    </w:div>
    <w:div w:id="382876691">
      <w:marLeft w:val="0"/>
      <w:marRight w:val="0"/>
      <w:marTop w:val="0"/>
      <w:marBottom w:val="0"/>
      <w:divBdr>
        <w:top w:val="none" w:sz="0" w:space="0" w:color="auto"/>
        <w:left w:val="none" w:sz="0" w:space="0" w:color="auto"/>
        <w:bottom w:val="none" w:sz="0" w:space="0" w:color="auto"/>
        <w:right w:val="none" w:sz="0" w:space="0" w:color="auto"/>
      </w:divBdr>
    </w:div>
    <w:div w:id="382876693">
      <w:marLeft w:val="0"/>
      <w:marRight w:val="0"/>
      <w:marTop w:val="0"/>
      <w:marBottom w:val="0"/>
      <w:divBdr>
        <w:top w:val="none" w:sz="0" w:space="0" w:color="auto"/>
        <w:left w:val="none" w:sz="0" w:space="0" w:color="auto"/>
        <w:bottom w:val="none" w:sz="0" w:space="0" w:color="auto"/>
        <w:right w:val="none" w:sz="0" w:space="0" w:color="auto"/>
      </w:divBdr>
    </w:div>
    <w:div w:id="382876695">
      <w:marLeft w:val="0"/>
      <w:marRight w:val="0"/>
      <w:marTop w:val="0"/>
      <w:marBottom w:val="0"/>
      <w:divBdr>
        <w:top w:val="none" w:sz="0" w:space="0" w:color="auto"/>
        <w:left w:val="none" w:sz="0" w:space="0" w:color="auto"/>
        <w:bottom w:val="none" w:sz="0" w:space="0" w:color="auto"/>
        <w:right w:val="none" w:sz="0" w:space="0" w:color="auto"/>
      </w:divBdr>
    </w:div>
    <w:div w:id="382876696">
      <w:marLeft w:val="0"/>
      <w:marRight w:val="0"/>
      <w:marTop w:val="0"/>
      <w:marBottom w:val="0"/>
      <w:divBdr>
        <w:top w:val="none" w:sz="0" w:space="0" w:color="auto"/>
        <w:left w:val="none" w:sz="0" w:space="0" w:color="auto"/>
        <w:bottom w:val="none" w:sz="0" w:space="0" w:color="auto"/>
        <w:right w:val="none" w:sz="0" w:space="0" w:color="auto"/>
      </w:divBdr>
    </w:div>
    <w:div w:id="382876697">
      <w:marLeft w:val="0"/>
      <w:marRight w:val="0"/>
      <w:marTop w:val="0"/>
      <w:marBottom w:val="0"/>
      <w:divBdr>
        <w:top w:val="none" w:sz="0" w:space="0" w:color="auto"/>
        <w:left w:val="none" w:sz="0" w:space="0" w:color="auto"/>
        <w:bottom w:val="none" w:sz="0" w:space="0" w:color="auto"/>
        <w:right w:val="none" w:sz="0" w:space="0" w:color="auto"/>
      </w:divBdr>
    </w:div>
    <w:div w:id="382876698">
      <w:marLeft w:val="0"/>
      <w:marRight w:val="0"/>
      <w:marTop w:val="0"/>
      <w:marBottom w:val="0"/>
      <w:divBdr>
        <w:top w:val="none" w:sz="0" w:space="0" w:color="auto"/>
        <w:left w:val="none" w:sz="0" w:space="0" w:color="auto"/>
        <w:bottom w:val="none" w:sz="0" w:space="0" w:color="auto"/>
        <w:right w:val="none" w:sz="0" w:space="0" w:color="auto"/>
      </w:divBdr>
    </w:div>
    <w:div w:id="382876700">
      <w:marLeft w:val="0"/>
      <w:marRight w:val="0"/>
      <w:marTop w:val="0"/>
      <w:marBottom w:val="0"/>
      <w:divBdr>
        <w:top w:val="none" w:sz="0" w:space="0" w:color="auto"/>
        <w:left w:val="none" w:sz="0" w:space="0" w:color="auto"/>
        <w:bottom w:val="none" w:sz="0" w:space="0" w:color="auto"/>
        <w:right w:val="none" w:sz="0" w:space="0" w:color="auto"/>
      </w:divBdr>
    </w:div>
    <w:div w:id="382876701">
      <w:marLeft w:val="0"/>
      <w:marRight w:val="0"/>
      <w:marTop w:val="0"/>
      <w:marBottom w:val="0"/>
      <w:divBdr>
        <w:top w:val="none" w:sz="0" w:space="0" w:color="auto"/>
        <w:left w:val="none" w:sz="0" w:space="0" w:color="auto"/>
        <w:bottom w:val="none" w:sz="0" w:space="0" w:color="auto"/>
        <w:right w:val="none" w:sz="0" w:space="0" w:color="auto"/>
      </w:divBdr>
    </w:div>
    <w:div w:id="382876702">
      <w:marLeft w:val="0"/>
      <w:marRight w:val="0"/>
      <w:marTop w:val="0"/>
      <w:marBottom w:val="0"/>
      <w:divBdr>
        <w:top w:val="none" w:sz="0" w:space="0" w:color="auto"/>
        <w:left w:val="none" w:sz="0" w:space="0" w:color="auto"/>
        <w:bottom w:val="none" w:sz="0" w:space="0" w:color="auto"/>
        <w:right w:val="none" w:sz="0" w:space="0" w:color="auto"/>
      </w:divBdr>
    </w:div>
    <w:div w:id="382876703">
      <w:marLeft w:val="0"/>
      <w:marRight w:val="0"/>
      <w:marTop w:val="0"/>
      <w:marBottom w:val="0"/>
      <w:divBdr>
        <w:top w:val="none" w:sz="0" w:space="0" w:color="auto"/>
        <w:left w:val="none" w:sz="0" w:space="0" w:color="auto"/>
        <w:bottom w:val="none" w:sz="0" w:space="0" w:color="auto"/>
        <w:right w:val="none" w:sz="0" w:space="0" w:color="auto"/>
      </w:divBdr>
    </w:div>
    <w:div w:id="382876704">
      <w:marLeft w:val="0"/>
      <w:marRight w:val="0"/>
      <w:marTop w:val="0"/>
      <w:marBottom w:val="0"/>
      <w:divBdr>
        <w:top w:val="none" w:sz="0" w:space="0" w:color="auto"/>
        <w:left w:val="none" w:sz="0" w:space="0" w:color="auto"/>
        <w:bottom w:val="none" w:sz="0" w:space="0" w:color="auto"/>
        <w:right w:val="none" w:sz="0" w:space="0" w:color="auto"/>
      </w:divBdr>
    </w:div>
    <w:div w:id="382876705">
      <w:marLeft w:val="0"/>
      <w:marRight w:val="0"/>
      <w:marTop w:val="0"/>
      <w:marBottom w:val="0"/>
      <w:divBdr>
        <w:top w:val="none" w:sz="0" w:space="0" w:color="auto"/>
        <w:left w:val="none" w:sz="0" w:space="0" w:color="auto"/>
        <w:bottom w:val="none" w:sz="0" w:space="0" w:color="auto"/>
        <w:right w:val="none" w:sz="0" w:space="0" w:color="auto"/>
      </w:divBdr>
    </w:div>
    <w:div w:id="382876706">
      <w:marLeft w:val="0"/>
      <w:marRight w:val="0"/>
      <w:marTop w:val="0"/>
      <w:marBottom w:val="0"/>
      <w:divBdr>
        <w:top w:val="none" w:sz="0" w:space="0" w:color="auto"/>
        <w:left w:val="none" w:sz="0" w:space="0" w:color="auto"/>
        <w:bottom w:val="none" w:sz="0" w:space="0" w:color="auto"/>
        <w:right w:val="none" w:sz="0" w:space="0" w:color="auto"/>
      </w:divBdr>
    </w:div>
    <w:div w:id="382876707">
      <w:marLeft w:val="0"/>
      <w:marRight w:val="0"/>
      <w:marTop w:val="0"/>
      <w:marBottom w:val="0"/>
      <w:divBdr>
        <w:top w:val="none" w:sz="0" w:space="0" w:color="auto"/>
        <w:left w:val="none" w:sz="0" w:space="0" w:color="auto"/>
        <w:bottom w:val="none" w:sz="0" w:space="0" w:color="auto"/>
        <w:right w:val="none" w:sz="0" w:space="0" w:color="auto"/>
      </w:divBdr>
    </w:div>
    <w:div w:id="382876708">
      <w:marLeft w:val="0"/>
      <w:marRight w:val="0"/>
      <w:marTop w:val="0"/>
      <w:marBottom w:val="0"/>
      <w:divBdr>
        <w:top w:val="none" w:sz="0" w:space="0" w:color="auto"/>
        <w:left w:val="none" w:sz="0" w:space="0" w:color="auto"/>
        <w:bottom w:val="none" w:sz="0" w:space="0" w:color="auto"/>
        <w:right w:val="none" w:sz="0" w:space="0" w:color="auto"/>
      </w:divBdr>
    </w:div>
    <w:div w:id="382876709">
      <w:marLeft w:val="0"/>
      <w:marRight w:val="0"/>
      <w:marTop w:val="0"/>
      <w:marBottom w:val="0"/>
      <w:divBdr>
        <w:top w:val="none" w:sz="0" w:space="0" w:color="auto"/>
        <w:left w:val="none" w:sz="0" w:space="0" w:color="auto"/>
        <w:bottom w:val="none" w:sz="0" w:space="0" w:color="auto"/>
        <w:right w:val="none" w:sz="0" w:space="0" w:color="auto"/>
      </w:divBdr>
    </w:div>
    <w:div w:id="382876710">
      <w:marLeft w:val="0"/>
      <w:marRight w:val="0"/>
      <w:marTop w:val="0"/>
      <w:marBottom w:val="0"/>
      <w:divBdr>
        <w:top w:val="none" w:sz="0" w:space="0" w:color="auto"/>
        <w:left w:val="none" w:sz="0" w:space="0" w:color="auto"/>
        <w:bottom w:val="none" w:sz="0" w:space="0" w:color="auto"/>
        <w:right w:val="none" w:sz="0" w:space="0" w:color="auto"/>
      </w:divBdr>
    </w:div>
    <w:div w:id="382876711">
      <w:marLeft w:val="0"/>
      <w:marRight w:val="0"/>
      <w:marTop w:val="0"/>
      <w:marBottom w:val="0"/>
      <w:divBdr>
        <w:top w:val="none" w:sz="0" w:space="0" w:color="auto"/>
        <w:left w:val="none" w:sz="0" w:space="0" w:color="auto"/>
        <w:bottom w:val="none" w:sz="0" w:space="0" w:color="auto"/>
        <w:right w:val="none" w:sz="0" w:space="0" w:color="auto"/>
      </w:divBdr>
    </w:div>
    <w:div w:id="382876712">
      <w:marLeft w:val="0"/>
      <w:marRight w:val="0"/>
      <w:marTop w:val="0"/>
      <w:marBottom w:val="0"/>
      <w:divBdr>
        <w:top w:val="none" w:sz="0" w:space="0" w:color="auto"/>
        <w:left w:val="none" w:sz="0" w:space="0" w:color="auto"/>
        <w:bottom w:val="none" w:sz="0" w:space="0" w:color="auto"/>
        <w:right w:val="none" w:sz="0" w:space="0" w:color="auto"/>
      </w:divBdr>
    </w:div>
    <w:div w:id="382876713">
      <w:marLeft w:val="0"/>
      <w:marRight w:val="0"/>
      <w:marTop w:val="0"/>
      <w:marBottom w:val="0"/>
      <w:divBdr>
        <w:top w:val="none" w:sz="0" w:space="0" w:color="auto"/>
        <w:left w:val="none" w:sz="0" w:space="0" w:color="auto"/>
        <w:bottom w:val="none" w:sz="0" w:space="0" w:color="auto"/>
        <w:right w:val="none" w:sz="0" w:space="0" w:color="auto"/>
      </w:divBdr>
    </w:div>
    <w:div w:id="382876714">
      <w:marLeft w:val="0"/>
      <w:marRight w:val="0"/>
      <w:marTop w:val="0"/>
      <w:marBottom w:val="0"/>
      <w:divBdr>
        <w:top w:val="none" w:sz="0" w:space="0" w:color="auto"/>
        <w:left w:val="none" w:sz="0" w:space="0" w:color="auto"/>
        <w:bottom w:val="none" w:sz="0" w:space="0" w:color="auto"/>
        <w:right w:val="none" w:sz="0" w:space="0" w:color="auto"/>
      </w:divBdr>
    </w:div>
    <w:div w:id="382876717">
      <w:marLeft w:val="0"/>
      <w:marRight w:val="0"/>
      <w:marTop w:val="0"/>
      <w:marBottom w:val="0"/>
      <w:divBdr>
        <w:top w:val="none" w:sz="0" w:space="0" w:color="auto"/>
        <w:left w:val="none" w:sz="0" w:space="0" w:color="auto"/>
        <w:bottom w:val="none" w:sz="0" w:space="0" w:color="auto"/>
        <w:right w:val="none" w:sz="0" w:space="0" w:color="auto"/>
      </w:divBdr>
      <w:divsChild>
        <w:div w:id="382876719">
          <w:marLeft w:val="0"/>
          <w:marRight w:val="0"/>
          <w:marTop w:val="0"/>
          <w:marBottom w:val="0"/>
          <w:divBdr>
            <w:top w:val="none" w:sz="0" w:space="0" w:color="auto"/>
            <w:left w:val="none" w:sz="0" w:space="0" w:color="auto"/>
            <w:bottom w:val="none" w:sz="0" w:space="0" w:color="auto"/>
            <w:right w:val="none" w:sz="0" w:space="0" w:color="auto"/>
          </w:divBdr>
          <w:divsChild>
            <w:div w:id="382876715">
              <w:marLeft w:val="0"/>
              <w:marRight w:val="0"/>
              <w:marTop w:val="0"/>
              <w:marBottom w:val="0"/>
              <w:divBdr>
                <w:top w:val="none" w:sz="0" w:space="0" w:color="auto"/>
                <w:left w:val="none" w:sz="0" w:space="0" w:color="auto"/>
                <w:bottom w:val="none" w:sz="0" w:space="0" w:color="auto"/>
                <w:right w:val="none" w:sz="0" w:space="0" w:color="auto"/>
              </w:divBdr>
              <w:divsChild>
                <w:div w:id="382876718">
                  <w:marLeft w:val="0"/>
                  <w:marRight w:val="0"/>
                  <w:marTop w:val="0"/>
                  <w:marBottom w:val="0"/>
                  <w:divBdr>
                    <w:top w:val="none" w:sz="0" w:space="0" w:color="auto"/>
                    <w:left w:val="none" w:sz="0" w:space="0" w:color="auto"/>
                    <w:bottom w:val="none" w:sz="0" w:space="0" w:color="auto"/>
                    <w:right w:val="none" w:sz="0" w:space="0" w:color="auto"/>
                  </w:divBdr>
                  <w:divsChild>
                    <w:div w:id="3828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720">
      <w:marLeft w:val="0"/>
      <w:marRight w:val="0"/>
      <w:marTop w:val="0"/>
      <w:marBottom w:val="0"/>
      <w:divBdr>
        <w:top w:val="none" w:sz="0" w:space="0" w:color="auto"/>
        <w:left w:val="none" w:sz="0" w:space="0" w:color="auto"/>
        <w:bottom w:val="none" w:sz="0" w:space="0" w:color="auto"/>
        <w:right w:val="none" w:sz="0" w:space="0" w:color="auto"/>
      </w:divBdr>
    </w:div>
    <w:div w:id="382876721">
      <w:marLeft w:val="0"/>
      <w:marRight w:val="0"/>
      <w:marTop w:val="0"/>
      <w:marBottom w:val="0"/>
      <w:divBdr>
        <w:top w:val="none" w:sz="0" w:space="0" w:color="auto"/>
        <w:left w:val="none" w:sz="0" w:space="0" w:color="auto"/>
        <w:bottom w:val="none" w:sz="0" w:space="0" w:color="auto"/>
        <w:right w:val="none" w:sz="0" w:space="0" w:color="auto"/>
      </w:divBdr>
    </w:div>
    <w:div w:id="382876722">
      <w:marLeft w:val="0"/>
      <w:marRight w:val="0"/>
      <w:marTop w:val="0"/>
      <w:marBottom w:val="0"/>
      <w:divBdr>
        <w:top w:val="none" w:sz="0" w:space="0" w:color="auto"/>
        <w:left w:val="none" w:sz="0" w:space="0" w:color="auto"/>
        <w:bottom w:val="none" w:sz="0" w:space="0" w:color="auto"/>
        <w:right w:val="none" w:sz="0" w:space="0" w:color="auto"/>
      </w:divBdr>
    </w:div>
    <w:div w:id="419914614">
      <w:bodyDiv w:val="1"/>
      <w:marLeft w:val="0"/>
      <w:marRight w:val="0"/>
      <w:marTop w:val="0"/>
      <w:marBottom w:val="0"/>
      <w:divBdr>
        <w:top w:val="none" w:sz="0" w:space="0" w:color="auto"/>
        <w:left w:val="none" w:sz="0" w:space="0" w:color="auto"/>
        <w:bottom w:val="none" w:sz="0" w:space="0" w:color="auto"/>
        <w:right w:val="none" w:sz="0" w:space="0" w:color="auto"/>
      </w:divBdr>
    </w:div>
    <w:div w:id="463237002">
      <w:bodyDiv w:val="1"/>
      <w:marLeft w:val="0"/>
      <w:marRight w:val="0"/>
      <w:marTop w:val="0"/>
      <w:marBottom w:val="0"/>
      <w:divBdr>
        <w:top w:val="none" w:sz="0" w:space="0" w:color="auto"/>
        <w:left w:val="none" w:sz="0" w:space="0" w:color="auto"/>
        <w:bottom w:val="none" w:sz="0" w:space="0" w:color="auto"/>
        <w:right w:val="none" w:sz="0" w:space="0" w:color="auto"/>
      </w:divBdr>
      <w:divsChild>
        <w:div w:id="1707680294">
          <w:marLeft w:val="0"/>
          <w:marRight w:val="0"/>
          <w:marTop w:val="0"/>
          <w:marBottom w:val="0"/>
          <w:divBdr>
            <w:top w:val="none" w:sz="0" w:space="0" w:color="auto"/>
            <w:left w:val="none" w:sz="0" w:space="0" w:color="auto"/>
            <w:bottom w:val="none" w:sz="0" w:space="0" w:color="auto"/>
            <w:right w:val="none" w:sz="0" w:space="0" w:color="auto"/>
          </w:divBdr>
        </w:div>
      </w:divsChild>
    </w:div>
    <w:div w:id="489910874">
      <w:bodyDiv w:val="1"/>
      <w:marLeft w:val="0"/>
      <w:marRight w:val="0"/>
      <w:marTop w:val="0"/>
      <w:marBottom w:val="0"/>
      <w:divBdr>
        <w:top w:val="none" w:sz="0" w:space="0" w:color="auto"/>
        <w:left w:val="none" w:sz="0" w:space="0" w:color="auto"/>
        <w:bottom w:val="none" w:sz="0" w:space="0" w:color="auto"/>
        <w:right w:val="none" w:sz="0" w:space="0" w:color="auto"/>
      </w:divBdr>
    </w:div>
    <w:div w:id="515267059">
      <w:bodyDiv w:val="1"/>
      <w:marLeft w:val="0"/>
      <w:marRight w:val="0"/>
      <w:marTop w:val="0"/>
      <w:marBottom w:val="0"/>
      <w:divBdr>
        <w:top w:val="none" w:sz="0" w:space="0" w:color="auto"/>
        <w:left w:val="none" w:sz="0" w:space="0" w:color="auto"/>
        <w:bottom w:val="none" w:sz="0" w:space="0" w:color="auto"/>
        <w:right w:val="none" w:sz="0" w:space="0" w:color="auto"/>
      </w:divBdr>
    </w:div>
    <w:div w:id="578445593">
      <w:bodyDiv w:val="1"/>
      <w:marLeft w:val="0"/>
      <w:marRight w:val="0"/>
      <w:marTop w:val="0"/>
      <w:marBottom w:val="0"/>
      <w:divBdr>
        <w:top w:val="none" w:sz="0" w:space="0" w:color="auto"/>
        <w:left w:val="none" w:sz="0" w:space="0" w:color="auto"/>
        <w:bottom w:val="none" w:sz="0" w:space="0" w:color="auto"/>
        <w:right w:val="none" w:sz="0" w:space="0" w:color="auto"/>
      </w:divBdr>
    </w:div>
    <w:div w:id="585112285">
      <w:bodyDiv w:val="1"/>
      <w:marLeft w:val="0"/>
      <w:marRight w:val="0"/>
      <w:marTop w:val="0"/>
      <w:marBottom w:val="0"/>
      <w:divBdr>
        <w:top w:val="none" w:sz="0" w:space="0" w:color="auto"/>
        <w:left w:val="none" w:sz="0" w:space="0" w:color="auto"/>
        <w:bottom w:val="none" w:sz="0" w:space="0" w:color="auto"/>
        <w:right w:val="none" w:sz="0" w:space="0" w:color="auto"/>
      </w:divBdr>
    </w:div>
    <w:div w:id="588852366">
      <w:bodyDiv w:val="1"/>
      <w:marLeft w:val="0"/>
      <w:marRight w:val="0"/>
      <w:marTop w:val="0"/>
      <w:marBottom w:val="0"/>
      <w:divBdr>
        <w:top w:val="none" w:sz="0" w:space="0" w:color="auto"/>
        <w:left w:val="none" w:sz="0" w:space="0" w:color="auto"/>
        <w:bottom w:val="none" w:sz="0" w:space="0" w:color="auto"/>
        <w:right w:val="none" w:sz="0" w:space="0" w:color="auto"/>
      </w:divBdr>
    </w:div>
    <w:div w:id="627971166">
      <w:bodyDiv w:val="1"/>
      <w:marLeft w:val="0"/>
      <w:marRight w:val="0"/>
      <w:marTop w:val="0"/>
      <w:marBottom w:val="0"/>
      <w:divBdr>
        <w:top w:val="none" w:sz="0" w:space="0" w:color="auto"/>
        <w:left w:val="none" w:sz="0" w:space="0" w:color="auto"/>
        <w:bottom w:val="none" w:sz="0" w:space="0" w:color="auto"/>
        <w:right w:val="none" w:sz="0" w:space="0" w:color="auto"/>
      </w:divBdr>
    </w:div>
    <w:div w:id="645398877">
      <w:bodyDiv w:val="1"/>
      <w:marLeft w:val="0"/>
      <w:marRight w:val="0"/>
      <w:marTop w:val="0"/>
      <w:marBottom w:val="0"/>
      <w:divBdr>
        <w:top w:val="none" w:sz="0" w:space="0" w:color="auto"/>
        <w:left w:val="none" w:sz="0" w:space="0" w:color="auto"/>
        <w:bottom w:val="none" w:sz="0" w:space="0" w:color="auto"/>
        <w:right w:val="none" w:sz="0" w:space="0" w:color="auto"/>
      </w:divBdr>
    </w:div>
    <w:div w:id="646545226">
      <w:bodyDiv w:val="1"/>
      <w:marLeft w:val="0"/>
      <w:marRight w:val="0"/>
      <w:marTop w:val="0"/>
      <w:marBottom w:val="0"/>
      <w:divBdr>
        <w:top w:val="none" w:sz="0" w:space="0" w:color="auto"/>
        <w:left w:val="none" w:sz="0" w:space="0" w:color="auto"/>
        <w:bottom w:val="none" w:sz="0" w:space="0" w:color="auto"/>
        <w:right w:val="none" w:sz="0" w:space="0" w:color="auto"/>
      </w:divBdr>
    </w:div>
    <w:div w:id="664086580">
      <w:bodyDiv w:val="1"/>
      <w:marLeft w:val="0"/>
      <w:marRight w:val="0"/>
      <w:marTop w:val="0"/>
      <w:marBottom w:val="0"/>
      <w:divBdr>
        <w:top w:val="none" w:sz="0" w:space="0" w:color="auto"/>
        <w:left w:val="none" w:sz="0" w:space="0" w:color="auto"/>
        <w:bottom w:val="none" w:sz="0" w:space="0" w:color="auto"/>
        <w:right w:val="none" w:sz="0" w:space="0" w:color="auto"/>
      </w:divBdr>
    </w:div>
    <w:div w:id="707143738">
      <w:bodyDiv w:val="1"/>
      <w:marLeft w:val="0"/>
      <w:marRight w:val="0"/>
      <w:marTop w:val="0"/>
      <w:marBottom w:val="0"/>
      <w:divBdr>
        <w:top w:val="none" w:sz="0" w:space="0" w:color="auto"/>
        <w:left w:val="none" w:sz="0" w:space="0" w:color="auto"/>
        <w:bottom w:val="none" w:sz="0" w:space="0" w:color="auto"/>
        <w:right w:val="none" w:sz="0" w:space="0" w:color="auto"/>
      </w:divBdr>
    </w:div>
    <w:div w:id="763958837">
      <w:bodyDiv w:val="1"/>
      <w:marLeft w:val="0"/>
      <w:marRight w:val="0"/>
      <w:marTop w:val="0"/>
      <w:marBottom w:val="0"/>
      <w:divBdr>
        <w:top w:val="none" w:sz="0" w:space="0" w:color="auto"/>
        <w:left w:val="none" w:sz="0" w:space="0" w:color="auto"/>
        <w:bottom w:val="none" w:sz="0" w:space="0" w:color="auto"/>
        <w:right w:val="none" w:sz="0" w:space="0" w:color="auto"/>
      </w:divBdr>
    </w:div>
    <w:div w:id="774524394">
      <w:bodyDiv w:val="1"/>
      <w:marLeft w:val="0"/>
      <w:marRight w:val="0"/>
      <w:marTop w:val="0"/>
      <w:marBottom w:val="0"/>
      <w:divBdr>
        <w:top w:val="none" w:sz="0" w:space="0" w:color="auto"/>
        <w:left w:val="none" w:sz="0" w:space="0" w:color="auto"/>
        <w:bottom w:val="none" w:sz="0" w:space="0" w:color="auto"/>
        <w:right w:val="none" w:sz="0" w:space="0" w:color="auto"/>
      </w:divBdr>
    </w:div>
    <w:div w:id="775255088">
      <w:bodyDiv w:val="1"/>
      <w:marLeft w:val="0"/>
      <w:marRight w:val="0"/>
      <w:marTop w:val="0"/>
      <w:marBottom w:val="0"/>
      <w:divBdr>
        <w:top w:val="none" w:sz="0" w:space="0" w:color="auto"/>
        <w:left w:val="none" w:sz="0" w:space="0" w:color="auto"/>
        <w:bottom w:val="none" w:sz="0" w:space="0" w:color="auto"/>
        <w:right w:val="none" w:sz="0" w:space="0" w:color="auto"/>
      </w:divBdr>
      <w:divsChild>
        <w:div w:id="137003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99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216465">
      <w:bodyDiv w:val="1"/>
      <w:marLeft w:val="0"/>
      <w:marRight w:val="0"/>
      <w:marTop w:val="0"/>
      <w:marBottom w:val="0"/>
      <w:divBdr>
        <w:top w:val="none" w:sz="0" w:space="0" w:color="auto"/>
        <w:left w:val="none" w:sz="0" w:space="0" w:color="auto"/>
        <w:bottom w:val="none" w:sz="0" w:space="0" w:color="auto"/>
        <w:right w:val="none" w:sz="0" w:space="0" w:color="auto"/>
      </w:divBdr>
    </w:div>
    <w:div w:id="802423956">
      <w:bodyDiv w:val="1"/>
      <w:marLeft w:val="0"/>
      <w:marRight w:val="0"/>
      <w:marTop w:val="0"/>
      <w:marBottom w:val="0"/>
      <w:divBdr>
        <w:top w:val="none" w:sz="0" w:space="0" w:color="auto"/>
        <w:left w:val="none" w:sz="0" w:space="0" w:color="auto"/>
        <w:bottom w:val="none" w:sz="0" w:space="0" w:color="auto"/>
        <w:right w:val="none" w:sz="0" w:space="0" w:color="auto"/>
      </w:divBdr>
    </w:div>
    <w:div w:id="831066272">
      <w:bodyDiv w:val="1"/>
      <w:marLeft w:val="0"/>
      <w:marRight w:val="0"/>
      <w:marTop w:val="0"/>
      <w:marBottom w:val="0"/>
      <w:divBdr>
        <w:top w:val="none" w:sz="0" w:space="0" w:color="auto"/>
        <w:left w:val="none" w:sz="0" w:space="0" w:color="auto"/>
        <w:bottom w:val="none" w:sz="0" w:space="0" w:color="auto"/>
        <w:right w:val="none" w:sz="0" w:space="0" w:color="auto"/>
      </w:divBdr>
    </w:div>
    <w:div w:id="879783291">
      <w:bodyDiv w:val="1"/>
      <w:marLeft w:val="0"/>
      <w:marRight w:val="0"/>
      <w:marTop w:val="0"/>
      <w:marBottom w:val="0"/>
      <w:divBdr>
        <w:top w:val="none" w:sz="0" w:space="0" w:color="auto"/>
        <w:left w:val="none" w:sz="0" w:space="0" w:color="auto"/>
        <w:bottom w:val="none" w:sz="0" w:space="0" w:color="auto"/>
        <w:right w:val="none" w:sz="0" w:space="0" w:color="auto"/>
      </w:divBdr>
    </w:div>
    <w:div w:id="910887293">
      <w:bodyDiv w:val="1"/>
      <w:marLeft w:val="0"/>
      <w:marRight w:val="0"/>
      <w:marTop w:val="0"/>
      <w:marBottom w:val="0"/>
      <w:divBdr>
        <w:top w:val="none" w:sz="0" w:space="0" w:color="auto"/>
        <w:left w:val="none" w:sz="0" w:space="0" w:color="auto"/>
        <w:bottom w:val="none" w:sz="0" w:space="0" w:color="auto"/>
        <w:right w:val="none" w:sz="0" w:space="0" w:color="auto"/>
      </w:divBdr>
    </w:div>
    <w:div w:id="930549386">
      <w:bodyDiv w:val="1"/>
      <w:marLeft w:val="0"/>
      <w:marRight w:val="0"/>
      <w:marTop w:val="0"/>
      <w:marBottom w:val="0"/>
      <w:divBdr>
        <w:top w:val="none" w:sz="0" w:space="0" w:color="auto"/>
        <w:left w:val="none" w:sz="0" w:space="0" w:color="auto"/>
        <w:bottom w:val="none" w:sz="0" w:space="0" w:color="auto"/>
        <w:right w:val="none" w:sz="0" w:space="0" w:color="auto"/>
      </w:divBdr>
    </w:div>
    <w:div w:id="941495540">
      <w:bodyDiv w:val="1"/>
      <w:marLeft w:val="0"/>
      <w:marRight w:val="0"/>
      <w:marTop w:val="0"/>
      <w:marBottom w:val="0"/>
      <w:divBdr>
        <w:top w:val="none" w:sz="0" w:space="0" w:color="auto"/>
        <w:left w:val="none" w:sz="0" w:space="0" w:color="auto"/>
        <w:bottom w:val="none" w:sz="0" w:space="0" w:color="auto"/>
        <w:right w:val="none" w:sz="0" w:space="0" w:color="auto"/>
      </w:divBdr>
    </w:div>
    <w:div w:id="975723596">
      <w:bodyDiv w:val="1"/>
      <w:marLeft w:val="0"/>
      <w:marRight w:val="0"/>
      <w:marTop w:val="0"/>
      <w:marBottom w:val="0"/>
      <w:divBdr>
        <w:top w:val="none" w:sz="0" w:space="0" w:color="auto"/>
        <w:left w:val="none" w:sz="0" w:space="0" w:color="auto"/>
        <w:bottom w:val="none" w:sz="0" w:space="0" w:color="auto"/>
        <w:right w:val="none" w:sz="0" w:space="0" w:color="auto"/>
      </w:divBdr>
    </w:div>
    <w:div w:id="988168631">
      <w:bodyDiv w:val="1"/>
      <w:marLeft w:val="0"/>
      <w:marRight w:val="0"/>
      <w:marTop w:val="0"/>
      <w:marBottom w:val="0"/>
      <w:divBdr>
        <w:top w:val="none" w:sz="0" w:space="0" w:color="auto"/>
        <w:left w:val="none" w:sz="0" w:space="0" w:color="auto"/>
        <w:bottom w:val="none" w:sz="0" w:space="0" w:color="auto"/>
        <w:right w:val="none" w:sz="0" w:space="0" w:color="auto"/>
      </w:divBdr>
    </w:div>
    <w:div w:id="1026101883">
      <w:bodyDiv w:val="1"/>
      <w:marLeft w:val="0"/>
      <w:marRight w:val="0"/>
      <w:marTop w:val="0"/>
      <w:marBottom w:val="0"/>
      <w:divBdr>
        <w:top w:val="none" w:sz="0" w:space="0" w:color="auto"/>
        <w:left w:val="none" w:sz="0" w:space="0" w:color="auto"/>
        <w:bottom w:val="none" w:sz="0" w:space="0" w:color="auto"/>
        <w:right w:val="none" w:sz="0" w:space="0" w:color="auto"/>
      </w:divBdr>
      <w:divsChild>
        <w:div w:id="1968967229">
          <w:marLeft w:val="0"/>
          <w:marRight w:val="0"/>
          <w:marTop w:val="0"/>
          <w:marBottom w:val="0"/>
          <w:divBdr>
            <w:top w:val="none" w:sz="0" w:space="0" w:color="auto"/>
            <w:left w:val="none" w:sz="0" w:space="0" w:color="auto"/>
            <w:bottom w:val="none" w:sz="0" w:space="0" w:color="auto"/>
            <w:right w:val="none" w:sz="0" w:space="0" w:color="auto"/>
          </w:divBdr>
          <w:divsChild>
            <w:div w:id="1022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892">
      <w:bodyDiv w:val="1"/>
      <w:marLeft w:val="0"/>
      <w:marRight w:val="0"/>
      <w:marTop w:val="0"/>
      <w:marBottom w:val="0"/>
      <w:divBdr>
        <w:top w:val="none" w:sz="0" w:space="0" w:color="auto"/>
        <w:left w:val="none" w:sz="0" w:space="0" w:color="auto"/>
        <w:bottom w:val="none" w:sz="0" w:space="0" w:color="auto"/>
        <w:right w:val="none" w:sz="0" w:space="0" w:color="auto"/>
      </w:divBdr>
    </w:div>
    <w:div w:id="1066878649">
      <w:bodyDiv w:val="1"/>
      <w:marLeft w:val="0"/>
      <w:marRight w:val="0"/>
      <w:marTop w:val="0"/>
      <w:marBottom w:val="0"/>
      <w:divBdr>
        <w:top w:val="none" w:sz="0" w:space="0" w:color="auto"/>
        <w:left w:val="none" w:sz="0" w:space="0" w:color="auto"/>
        <w:bottom w:val="none" w:sz="0" w:space="0" w:color="auto"/>
        <w:right w:val="none" w:sz="0" w:space="0" w:color="auto"/>
      </w:divBdr>
    </w:div>
    <w:div w:id="1091973897">
      <w:bodyDiv w:val="1"/>
      <w:marLeft w:val="0"/>
      <w:marRight w:val="0"/>
      <w:marTop w:val="0"/>
      <w:marBottom w:val="0"/>
      <w:divBdr>
        <w:top w:val="none" w:sz="0" w:space="0" w:color="auto"/>
        <w:left w:val="none" w:sz="0" w:space="0" w:color="auto"/>
        <w:bottom w:val="none" w:sz="0" w:space="0" w:color="auto"/>
        <w:right w:val="none" w:sz="0" w:space="0" w:color="auto"/>
      </w:divBdr>
    </w:div>
    <w:div w:id="1103958762">
      <w:bodyDiv w:val="1"/>
      <w:marLeft w:val="0"/>
      <w:marRight w:val="0"/>
      <w:marTop w:val="0"/>
      <w:marBottom w:val="0"/>
      <w:divBdr>
        <w:top w:val="none" w:sz="0" w:space="0" w:color="auto"/>
        <w:left w:val="none" w:sz="0" w:space="0" w:color="auto"/>
        <w:bottom w:val="none" w:sz="0" w:space="0" w:color="auto"/>
        <w:right w:val="none" w:sz="0" w:space="0" w:color="auto"/>
      </w:divBdr>
    </w:div>
    <w:div w:id="1121995607">
      <w:bodyDiv w:val="1"/>
      <w:marLeft w:val="0"/>
      <w:marRight w:val="0"/>
      <w:marTop w:val="0"/>
      <w:marBottom w:val="0"/>
      <w:divBdr>
        <w:top w:val="none" w:sz="0" w:space="0" w:color="auto"/>
        <w:left w:val="none" w:sz="0" w:space="0" w:color="auto"/>
        <w:bottom w:val="none" w:sz="0" w:space="0" w:color="auto"/>
        <w:right w:val="none" w:sz="0" w:space="0" w:color="auto"/>
      </w:divBdr>
    </w:div>
    <w:div w:id="1134759464">
      <w:bodyDiv w:val="1"/>
      <w:marLeft w:val="0"/>
      <w:marRight w:val="0"/>
      <w:marTop w:val="0"/>
      <w:marBottom w:val="0"/>
      <w:divBdr>
        <w:top w:val="none" w:sz="0" w:space="0" w:color="auto"/>
        <w:left w:val="none" w:sz="0" w:space="0" w:color="auto"/>
        <w:bottom w:val="none" w:sz="0" w:space="0" w:color="auto"/>
        <w:right w:val="none" w:sz="0" w:space="0" w:color="auto"/>
      </w:divBdr>
    </w:div>
    <w:div w:id="1143698608">
      <w:bodyDiv w:val="1"/>
      <w:marLeft w:val="0"/>
      <w:marRight w:val="0"/>
      <w:marTop w:val="0"/>
      <w:marBottom w:val="0"/>
      <w:divBdr>
        <w:top w:val="none" w:sz="0" w:space="0" w:color="auto"/>
        <w:left w:val="none" w:sz="0" w:space="0" w:color="auto"/>
        <w:bottom w:val="none" w:sz="0" w:space="0" w:color="auto"/>
        <w:right w:val="none" w:sz="0" w:space="0" w:color="auto"/>
      </w:divBdr>
    </w:div>
    <w:div w:id="1157262032">
      <w:bodyDiv w:val="1"/>
      <w:marLeft w:val="0"/>
      <w:marRight w:val="0"/>
      <w:marTop w:val="0"/>
      <w:marBottom w:val="0"/>
      <w:divBdr>
        <w:top w:val="none" w:sz="0" w:space="0" w:color="auto"/>
        <w:left w:val="none" w:sz="0" w:space="0" w:color="auto"/>
        <w:bottom w:val="none" w:sz="0" w:space="0" w:color="auto"/>
        <w:right w:val="none" w:sz="0" w:space="0" w:color="auto"/>
      </w:divBdr>
    </w:div>
    <w:div w:id="1159618398">
      <w:bodyDiv w:val="1"/>
      <w:marLeft w:val="0"/>
      <w:marRight w:val="0"/>
      <w:marTop w:val="0"/>
      <w:marBottom w:val="0"/>
      <w:divBdr>
        <w:top w:val="none" w:sz="0" w:space="0" w:color="auto"/>
        <w:left w:val="none" w:sz="0" w:space="0" w:color="auto"/>
        <w:bottom w:val="none" w:sz="0" w:space="0" w:color="auto"/>
        <w:right w:val="none" w:sz="0" w:space="0" w:color="auto"/>
      </w:divBdr>
    </w:div>
    <w:div w:id="1194424691">
      <w:bodyDiv w:val="1"/>
      <w:marLeft w:val="0"/>
      <w:marRight w:val="0"/>
      <w:marTop w:val="0"/>
      <w:marBottom w:val="0"/>
      <w:divBdr>
        <w:top w:val="none" w:sz="0" w:space="0" w:color="auto"/>
        <w:left w:val="none" w:sz="0" w:space="0" w:color="auto"/>
        <w:bottom w:val="none" w:sz="0" w:space="0" w:color="auto"/>
        <w:right w:val="none" w:sz="0" w:space="0" w:color="auto"/>
      </w:divBdr>
    </w:div>
    <w:div w:id="1215702682">
      <w:bodyDiv w:val="1"/>
      <w:marLeft w:val="0"/>
      <w:marRight w:val="0"/>
      <w:marTop w:val="0"/>
      <w:marBottom w:val="0"/>
      <w:divBdr>
        <w:top w:val="none" w:sz="0" w:space="0" w:color="auto"/>
        <w:left w:val="none" w:sz="0" w:space="0" w:color="auto"/>
        <w:bottom w:val="none" w:sz="0" w:space="0" w:color="auto"/>
        <w:right w:val="none" w:sz="0" w:space="0" w:color="auto"/>
      </w:divBdr>
    </w:div>
    <w:div w:id="1225722155">
      <w:bodyDiv w:val="1"/>
      <w:marLeft w:val="0"/>
      <w:marRight w:val="0"/>
      <w:marTop w:val="0"/>
      <w:marBottom w:val="0"/>
      <w:divBdr>
        <w:top w:val="none" w:sz="0" w:space="0" w:color="auto"/>
        <w:left w:val="none" w:sz="0" w:space="0" w:color="auto"/>
        <w:bottom w:val="none" w:sz="0" w:space="0" w:color="auto"/>
        <w:right w:val="none" w:sz="0" w:space="0" w:color="auto"/>
      </w:divBdr>
    </w:div>
    <w:div w:id="1236434207">
      <w:bodyDiv w:val="1"/>
      <w:marLeft w:val="0"/>
      <w:marRight w:val="0"/>
      <w:marTop w:val="0"/>
      <w:marBottom w:val="0"/>
      <w:divBdr>
        <w:top w:val="none" w:sz="0" w:space="0" w:color="auto"/>
        <w:left w:val="none" w:sz="0" w:space="0" w:color="auto"/>
        <w:bottom w:val="none" w:sz="0" w:space="0" w:color="auto"/>
        <w:right w:val="none" w:sz="0" w:space="0" w:color="auto"/>
      </w:divBdr>
    </w:div>
    <w:div w:id="1250381770">
      <w:bodyDiv w:val="1"/>
      <w:marLeft w:val="0"/>
      <w:marRight w:val="0"/>
      <w:marTop w:val="0"/>
      <w:marBottom w:val="0"/>
      <w:divBdr>
        <w:top w:val="none" w:sz="0" w:space="0" w:color="auto"/>
        <w:left w:val="none" w:sz="0" w:space="0" w:color="auto"/>
        <w:bottom w:val="none" w:sz="0" w:space="0" w:color="auto"/>
        <w:right w:val="none" w:sz="0" w:space="0" w:color="auto"/>
      </w:divBdr>
    </w:div>
    <w:div w:id="1266303923">
      <w:bodyDiv w:val="1"/>
      <w:marLeft w:val="0"/>
      <w:marRight w:val="0"/>
      <w:marTop w:val="0"/>
      <w:marBottom w:val="0"/>
      <w:divBdr>
        <w:top w:val="none" w:sz="0" w:space="0" w:color="auto"/>
        <w:left w:val="none" w:sz="0" w:space="0" w:color="auto"/>
        <w:bottom w:val="none" w:sz="0" w:space="0" w:color="auto"/>
        <w:right w:val="none" w:sz="0" w:space="0" w:color="auto"/>
      </w:divBdr>
    </w:div>
    <w:div w:id="1293092107">
      <w:bodyDiv w:val="1"/>
      <w:marLeft w:val="0"/>
      <w:marRight w:val="0"/>
      <w:marTop w:val="0"/>
      <w:marBottom w:val="0"/>
      <w:divBdr>
        <w:top w:val="none" w:sz="0" w:space="0" w:color="auto"/>
        <w:left w:val="none" w:sz="0" w:space="0" w:color="auto"/>
        <w:bottom w:val="none" w:sz="0" w:space="0" w:color="auto"/>
        <w:right w:val="none" w:sz="0" w:space="0" w:color="auto"/>
      </w:divBdr>
    </w:div>
    <w:div w:id="1341856661">
      <w:bodyDiv w:val="1"/>
      <w:marLeft w:val="0"/>
      <w:marRight w:val="0"/>
      <w:marTop w:val="0"/>
      <w:marBottom w:val="0"/>
      <w:divBdr>
        <w:top w:val="none" w:sz="0" w:space="0" w:color="auto"/>
        <w:left w:val="none" w:sz="0" w:space="0" w:color="auto"/>
        <w:bottom w:val="none" w:sz="0" w:space="0" w:color="auto"/>
        <w:right w:val="none" w:sz="0" w:space="0" w:color="auto"/>
      </w:divBdr>
    </w:div>
    <w:div w:id="1349143362">
      <w:bodyDiv w:val="1"/>
      <w:marLeft w:val="0"/>
      <w:marRight w:val="0"/>
      <w:marTop w:val="0"/>
      <w:marBottom w:val="0"/>
      <w:divBdr>
        <w:top w:val="none" w:sz="0" w:space="0" w:color="auto"/>
        <w:left w:val="none" w:sz="0" w:space="0" w:color="auto"/>
        <w:bottom w:val="none" w:sz="0" w:space="0" w:color="auto"/>
        <w:right w:val="none" w:sz="0" w:space="0" w:color="auto"/>
      </w:divBdr>
    </w:div>
    <w:div w:id="1396245082">
      <w:bodyDiv w:val="1"/>
      <w:marLeft w:val="0"/>
      <w:marRight w:val="0"/>
      <w:marTop w:val="0"/>
      <w:marBottom w:val="0"/>
      <w:divBdr>
        <w:top w:val="none" w:sz="0" w:space="0" w:color="auto"/>
        <w:left w:val="none" w:sz="0" w:space="0" w:color="auto"/>
        <w:bottom w:val="none" w:sz="0" w:space="0" w:color="auto"/>
        <w:right w:val="none" w:sz="0" w:space="0" w:color="auto"/>
      </w:divBdr>
    </w:div>
    <w:div w:id="1399592009">
      <w:bodyDiv w:val="1"/>
      <w:marLeft w:val="0"/>
      <w:marRight w:val="0"/>
      <w:marTop w:val="0"/>
      <w:marBottom w:val="0"/>
      <w:divBdr>
        <w:top w:val="none" w:sz="0" w:space="0" w:color="auto"/>
        <w:left w:val="none" w:sz="0" w:space="0" w:color="auto"/>
        <w:bottom w:val="none" w:sz="0" w:space="0" w:color="auto"/>
        <w:right w:val="none" w:sz="0" w:space="0" w:color="auto"/>
      </w:divBdr>
    </w:div>
    <w:div w:id="1413965230">
      <w:bodyDiv w:val="1"/>
      <w:marLeft w:val="0"/>
      <w:marRight w:val="0"/>
      <w:marTop w:val="0"/>
      <w:marBottom w:val="0"/>
      <w:divBdr>
        <w:top w:val="none" w:sz="0" w:space="0" w:color="auto"/>
        <w:left w:val="none" w:sz="0" w:space="0" w:color="auto"/>
        <w:bottom w:val="none" w:sz="0" w:space="0" w:color="auto"/>
        <w:right w:val="none" w:sz="0" w:space="0" w:color="auto"/>
      </w:divBdr>
      <w:divsChild>
        <w:div w:id="800535084">
          <w:marLeft w:val="0"/>
          <w:marRight w:val="0"/>
          <w:marTop w:val="0"/>
          <w:marBottom w:val="0"/>
          <w:divBdr>
            <w:top w:val="none" w:sz="0" w:space="0" w:color="auto"/>
            <w:left w:val="none" w:sz="0" w:space="0" w:color="auto"/>
            <w:bottom w:val="none" w:sz="0" w:space="0" w:color="auto"/>
            <w:right w:val="none" w:sz="0" w:space="0" w:color="auto"/>
          </w:divBdr>
          <w:divsChild>
            <w:div w:id="1163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38389">
      <w:bodyDiv w:val="1"/>
      <w:marLeft w:val="0"/>
      <w:marRight w:val="0"/>
      <w:marTop w:val="0"/>
      <w:marBottom w:val="0"/>
      <w:divBdr>
        <w:top w:val="none" w:sz="0" w:space="0" w:color="auto"/>
        <w:left w:val="none" w:sz="0" w:space="0" w:color="auto"/>
        <w:bottom w:val="none" w:sz="0" w:space="0" w:color="auto"/>
        <w:right w:val="none" w:sz="0" w:space="0" w:color="auto"/>
      </w:divBdr>
    </w:div>
    <w:div w:id="1446651362">
      <w:bodyDiv w:val="1"/>
      <w:marLeft w:val="0"/>
      <w:marRight w:val="0"/>
      <w:marTop w:val="0"/>
      <w:marBottom w:val="0"/>
      <w:divBdr>
        <w:top w:val="none" w:sz="0" w:space="0" w:color="auto"/>
        <w:left w:val="none" w:sz="0" w:space="0" w:color="auto"/>
        <w:bottom w:val="none" w:sz="0" w:space="0" w:color="auto"/>
        <w:right w:val="none" w:sz="0" w:space="0" w:color="auto"/>
      </w:divBdr>
    </w:div>
    <w:div w:id="1501235119">
      <w:bodyDiv w:val="1"/>
      <w:marLeft w:val="0"/>
      <w:marRight w:val="0"/>
      <w:marTop w:val="0"/>
      <w:marBottom w:val="0"/>
      <w:divBdr>
        <w:top w:val="none" w:sz="0" w:space="0" w:color="auto"/>
        <w:left w:val="none" w:sz="0" w:space="0" w:color="auto"/>
        <w:bottom w:val="none" w:sz="0" w:space="0" w:color="auto"/>
        <w:right w:val="none" w:sz="0" w:space="0" w:color="auto"/>
      </w:divBdr>
    </w:div>
    <w:div w:id="1549608045">
      <w:bodyDiv w:val="1"/>
      <w:marLeft w:val="0"/>
      <w:marRight w:val="0"/>
      <w:marTop w:val="0"/>
      <w:marBottom w:val="0"/>
      <w:divBdr>
        <w:top w:val="none" w:sz="0" w:space="0" w:color="auto"/>
        <w:left w:val="none" w:sz="0" w:space="0" w:color="auto"/>
        <w:bottom w:val="none" w:sz="0" w:space="0" w:color="auto"/>
        <w:right w:val="none" w:sz="0" w:space="0" w:color="auto"/>
      </w:divBdr>
    </w:div>
    <w:div w:id="1553493387">
      <w:bodyDiv w:val="1"/>
      <w:marLeft w:val="0"/>
      <w:marRight w:val="0"/>
      <w:marTop w:val="0"/>
      <w:marBottom w:val="0"/>
      <w:divBdr>
        <w:top w:val="none" w:sz="0" w:space="0" w:color="auto"/>
        <w:left w:val="none" w:sz="0" w:space="0" w:color="auto"/>
        <w:bottom w:val="none" w:sz="0" w:space="0" w:color="auto"/>
        <w:right w:val="none" w:sz="0" w:space="0" w:color="auto"/>
      </w:divBdr>
      <w:divsChild>
        <w:div w:id="1418480327">
          <w:marLeft w:val="0"/>
          <w:marRight w:val="0"/>
          <w:marTop w:val="0"/>
          <w:marBottom w:val="0"/>
          <w:divBdr>
            <w:top w:val="none" w:sz="0" w:space="0" w:color="auto"/>
            <w:left w:val="none" w:sz="0" w:space="0" w:color="auto"/>
            <w:bottom w:val="none" w:sz="0" w:space="0" w:color="auto"/>
            <w:right w:val="none" w:sz="0" w:space="0" w:color="auto"/>
          </w:divBdr>
          <w:divsChild>
            <w:div w:id="976837754">
              <w:marLeft w:val="0"/>
              <w:marRight w:val="0"/>
              <w:marTop w:val="100"/>
              <w:marBottom w:val="100"/>
              <w:divBdr>
                <w:top w:val="none" w:sz="0" w:space="0" w:color="auto"/>
                <w:left w:val="none" w:sz="0" w:space="0" w:color="auto"/>
                <w:bottom w:val="none" w:sz="0" w:space="0" w:color="auto"/>
                <w:right w:val="none" w:sz="0" w:space="0" w:color="auto"/>
              </w:divBdr>
              <w:divsChild>
                <w:div w:id="1550071837">
                  <w:marLeft w:val="0"/>
                  <w:marRight w:val="0"/>
                  <w:marTop w:val="0"/>
                  <w:marBottom w:val="0"/>
                  <w:divBdr>
                    <w:top w:val="none" w:sz="0" w:space="0" w:color="auto"/>
                    <w:left w:val="none" w:sz="0" w:space="0" w:color="auto"/>
                    <w:bottom w:val="none" w:sz="0" w:space="0" w:color="auto"/>
                    <w:right w:val="none" w:sz="0" w:space="0" w:color="auto"/>
                  </w:divBdr>
                  <w:divsChild>
                    <w:div w:id="587084943">
                      <w:marLeft w:val="0"/>
                      <w:marRight w:val="0"/>
                      <w:marTop w:val="0"/>
                      <w:marBottom w:val="0"/>
                      <w:divBdr>
                        <w:top w:val="none" w:sz="0" w:space="0" w:color="auto"/>
                        <w:left w:val="none" w:sz="0" w:space="0" w:color="auto"/>
                        <w:bottom w:val="none" w:sz="0" w:space="0" w:color="auto"/>
                        <w:right w:val="none" w:sz="0" w:space="0" w:color="auto"/>
                      </w:divBdr>
                      <w:divsChild>
                        <w:div w:id="5580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82445">
      <w:bodyDiv w:val="1"/>
      <w:marLeft w:val="0"/>
      <w:marRight w:val="0"/>
      <w:marTop w:val="0"/>
      <w:marBottom w:val="0"/>
      <w:divBdr>
        <w:top w:val="none" w:sz="0" w:space="0" w:color="auto"/>
        <w:left w:val="none" w:sz="0" w:space="0" w:color="auto"/>
        <w:bottom w:val="none" w:sz="0" w:space="0" w:color="auto"/>
        <w:right w:val="none" w:sz="0" w:space="0" w:color="auto"/>
      </w:divBdr>
    </w:div>
    <w:div w:id="1618413872">
      <w:bodyDiv w:val="1"/>
      <w:marLeft w:val="0"/>
      <w:marRight w:val="0"/>
      <w:marTop w:val="0"/>
      <w:marBottom w:val="0"/>
      <w:divBdr>
        <w:top w:val="none" w:sz="0" w:space="0" w:color="auto"/>
        <w:left w:val="none" w:sz="0" w:space="0" w:color="auto"/>
        <w:bottom w:val="none" w:sz="0" w:space="0" w:color="auto"/>
        <w:right w:val="none" w:sz="0" w:space="0" w:color="auto"/>
      </w:divBdr>
    </w:div>
    <w:div w:id="1663464316">
      <w:bodyDiv w:val="1"/>
      <w:marLeft w:val="0"/>
      <w:marRight w:val="0"/>
      <w:marTop w:val="0"/>
      <w:marBottom w:val="0"/>
      <w:divBdr>
        <w:top w:val="none" w:sz="0" w:space="0" w:color="auto"/>
        <w:left w:val="none" w:sz="0" w:space="0" w:color="auto"/>
        <w:bottom w:val="none" w:sz="0" w:space="0" w:color="auto"/>
        <w:right w:val="none" w:sz="0" w:space="0" w:color="auto"/>
      </w:divBdr>
    </w:div>
    <w:div w:id="1676835798">
      <w:bodyDiv w:val="1"/>
      <w:marLeft w:val="0"/>
      <w:marRight w:val="0"/>
      <w:marTop w:val="0"/>
      <w:marBottom w:val="0"/>
      <w:divBdr>
        <w:top w:val="none" w:sz="0" w:space="0" w:color="auto"/>
        <w:left w:val="none" w:sz="0" w:space="0" w:color="auto"/>
        <w:bottom w:val="none" w:sz="0" w:space="0" w:color="auto"/>
        <w:right w:val="none" w:sz="0" w:space="0" w:color="auto"/>
      </w:divBdr>
    </w:div>
    <w:div w:id="1715348007">
      <w:bodyDiv w:val="1"/>
      <w:marLeft w:val="0"/>
      <w:marRight w:val="0"/>
      <w:marTop w:val="0"/>
      <w:marBottom w:val="0"/>
      <w:divBdr>
        <w:top w:val="none" w:sz="0" w:space="0" w:color="auto"/>
        <w:left w:val="none" w:sz="0" w:space="0" w:color="auto"/>
        <w:bottom w:val="none" w:sz="0" w:space="0" w:color="auto"/>
        <w:right w:val="none" w:sz="0" w:space="0" w:color="auto"/>
      </w:divBdr>
    </w:div>
    <w:div w:id="1771899219">
      <w:bodyDiv w:val="1"/>
      <w:marLeft w:val="0"/>
      <w:marRight w:val="0"/>
      <w:marTop w:val="0"/>
      <w:marBottom w:val="0"/>
      <w:divBdr>
        <w:top w:val="none" w:sz="0" w:space="0" w:color="auto"/>
        <w:left w:val="none" w:sz="0" w:space="0" w:color="auto"/>
        <w:bottom w:val="none" w:sz="0" w:space="0" w:color="auto"/>
        <w:right w:val="none" w:sz="0" w:space="0" w:color="auto"/>
      </w:divBdr>
    </w:div>
    <w:div w:id="1796831061">
      <w:bodyDiv w:val="1"/>
      <w:marLeft w:val="0"/>
      <w:marRight w:val="0"/>
      <w:marTop w:val="0"/>
      <w:marBottom w:val="0"/>
      <w:divBdr>
        <w:top w:val="none" w:sz="0" w:space="0" w:color="auto"/>
        <w:left w:val="none" w:sz="0" w:space="0" w:color="auto"/>
        <w:bottom w:val="none" w:sz="0" w:space="0" w:color="auto"/>
        <w:right w:val="none" w:sz="0" w:space="0" w:color="auto"/>
      </w:divBdr>
    </w:div>
    <w:div w:id="1807042670">
      <w:bodyDiv w:val="1"/>
      <w:marLeft w:val="0"/>
      <w:marRight w:val="0"/>
      <w:marTop w:val="0"/>
      <w:marBottom w:val="0"/>
      <w:divBdr>
        <w:top w:val="none" w:sz="0" w:space="0" w:color="auto"/>
        <w:left w:val="none" w:sz="0" w:space="0" w:color="auto"/>
        <w:bottom w:val="none" w:sz="0" w:space="0" w:color="auto"/>
        <w:right w:val="none" w:sz="0" w:space="0" w:color="auto"/>
      </w:divBdr>
    </w:div>
    <w:div w:id="1810786868">
      <w:bodyDiv w:val="1"/>
      <w:marLeft w:val="0"/>
      <w:marRight w:val="0"/>
      <w:marTop w:val="0"/>
      <w:marBottom w:val="0"/>
      <w:divBdr>
        <w:top w:val="none" w:sz="0" w:space="0" w:color="auto"/>
        <w:left w:val="none" w:sz="0" w:space="0" w:color="auto"/>
        <w:bottom w:val="none" w:sz="0" w:space="0" w:color="auto"/>
        <w:right w:val="none" w:sz="0" w:space="0" w:color="auto"/>
      </w:divBdr>
    </w:div>
    <w:div w:id="1815873195">
      <w:bodyDiv w:val="1"/>
      <w:marLeft w:val="0"/>
      <w:marRight w:val="0"/>
      <w:marTop w:val="0"/>
      <w:marBottom w:val="0"/>
      <w:divBdr>
        <w:top w:val="none" w:sz="0" w:space="0" w:color="auto"/>
        <w:left w:val="none" w:sz="0" w:space="0" w:color="auto"/>
        <w:bottom w:val="none" w:sz="0" w:space="0" w:color="auto"/>
        <w:right w:val="none" w:sz="0" w:space="0" w:color="auto"/>
      </w:divBdr>
    </w:div>
    <w:div w:id="1826121154">
      <w:bodyDiv w:val="1"/>
      <w:marLeft w:val="0"/>
      <w:marRight w:val="0"/>
      <w:marTop w:val="0"/>
      <w:marBottom w:val="0"/>
      <w:divBdr>
        <w:top w:val="none" w:sz="0" w:space="0" w:color="auto"/>
        <w:left w:val="none" w:sz="0" w:space="0" w:color="auto"/>
        <w:bottom w:val="none" w:sz="0" w:space="0" w:color="auto"/>
        <w:right w:val="none" w:sz="0" w:space="0" w:color="auto"/>
      </w:divBdr>
    </w:div>
    <w:div w:id="1866287001">
      <w:bodyDiv w:val="1"/>
      <w:marLeft w:val="0"/>
      <w:marRight w:val="0"/>
      <w:marTop w:val="0"/>
      <w:marBottom w:val="0"/>
      <w:divBdr>
        <w:top w:val="none" w:sz="0" w:space="0" w:color="auto"/>
        <w:left w:val="none" w:sz="0" w:space="0" w:color="auto"/>
        <w:bottom w:val="none" w:sz="0" w:space="0" w:color="auto"/>
        <w:right w:val="none" w:sz="0" w:space="0" w:color="auto"/>
      </w:divBdr>
    </w:div>
    <w:div w:id="1882595193">
      <w:bodyDiv w:val="1"/>
      <w:marLeft w:val="0"/>
      <w:marRight w:val="0"/>
      <w:marTop w:val="0"/>
      <w:marBottom w:val="0"/>
      <w:divBdr>
        <w:top w:val="none" w:sz="0" w:space="0" w:color="auto"/>
        <w:left w:val="none" w:sz="0" w:space="0" w:color="auto"/>
        <w:bottom w:val="none" w:sz="0" w:space="0" w:color="auto"/>
        <w:right w:val="none" w:sz="0" w:space="0" w:color="auto"/>
      </w:divBdr>
    </w:div>
    <w:div w:id="1893033957">
      <w:bodyDiv w:val="1"/>
      <w:marLeft w:val="0"/>
      <w:marRight w:val="0"/>
      <w:marTop w:val="0"/>
      <w:marBottom w:val="0"/>
      <w:divBdr>
        <w:top w:val="none" w:sz="0" w:space="0" w:color="auto"/>
        <w:left w:val="none" w:sz="0" w:space="0" w:color="auto"/>
        <w:bottom w:val="none" w:sz="0" w:space="0" w:color="auto"/>
        <w:right w:val="none" w:sz="0" w:space="0" w:color="auto"/>
      </w:divBdr>
    </w:div>
    <w:div w:id="1936597425">
      <w:bodyDiv w:val="1"/>
      <w:marLeft w:val="0"/>
      <w:marRight w:val="0"/>
      <w:marTop w:val="0"/>
      <w:marBottom w:val="0"/>
      <w:divBdr>
        <w:top w:val="none" w:sz="0" w:space="0" w:color="auto"/>
        <w:left w:val="none" w:sz="0" w:space="0" w:color="auto"/>
        <w:bottom w:val="none" w:sz="0" w:space="0" w:color="auto"/>
        <w:right w:val="none" w:sz="0" w:space="0" w:color="auto"/>
      </w:divBdr>
    </w:div>
    <w:div w:id="19512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merfinance.gov/blog/everyone-has-a-story-what-yours/" TargetMode="External"/><Relationship Id="rId117" Type="http://schemas.openxmlformats.org/officeDocument/2006/relationships/hyperlink" Target="http://www.consumerfinance.gov/" TargetMode="External"/><Relationship Id="rId21" Type="http://schemas.openxmlformats.org/officeDocument/2006/relationships/hyperlink" Target="http://www.consumerfinance.gov/blog/closing-the-book-on-colfax/" TargetMode="External"/><Relationship Id="rId42" Type="http://schemas.openxmlformats.org/officeDocument/2006/relationships/hyperlink" Target="http://www.treasury.gov/press-center/press-releases/Pages/jl2607.aspx" TargetMode="External"/><Relationship Id="rId47" Type="http://schemas.openxmlformats.org/officeDocument/2006/relationships/hyperlink" Target="http://files.consumerfinance.gov/f/201407_cfpb_report_financial-literacy-annual-report.pdf" TargetMode="External"/><Relationship Id="rId63" Type="http://schemas.openxmlformats.org/officeDocument/2006/relationships/hyperlink" Target="http://www.philadelphiafed.org/consumer-credit-and-payments/payment-cards-center/publications/discussion-papers/2014/D-2014-Fair-Lending.pdf" TargetMode="External"/><Relationship Id="rId68" Type="http://schemas.openxmlformats.org/officeDocument/2006/relationships/hyperlink" Target="http://www.consumerfinance.gov/newsroom/prepared-remarks-of-cfpb-director-richard-cordray-at-the-association-of-military-banks-of-america/" TargetMode="External"/><Relationship Id="rId84" Type="http://schemas.openxmlformats.org/officeDocument/2006/relationships/hyperlink" Target="http://www.federalreserve.gov/newsevents/press/bcreg/bcreg20131210a3.pdf" TargetMode="External"/><Relationship Id="rId89" Type="http://schemas.openxmlformats.org/officeDocument/2006/relationships/hyperlink" Target="http://www.consumerfinance.gov/regulations/disclosure-and-delivery-requirements-for-copies-of-appraisals-and-other-written-valuations-under-the-equal-credit-opportunity-act-regulation-b/" TargetMode="External"/><Relationship Id="rId112" Type="http://schemas.openxmlformats.org/officeDocument/2006/relationships/hyperlink" Target="https://www.federalregister.gov/articles/2013/08/14/2013-19503/electronic-fund-transfers-regulation-e-correction" TargetMode="External"/><Relationship Id="rId133" Type="http://schemas.openxmlformats.org/officeDocument/2006/relationships/hyperlink" Target="http://www.treasury.gov/initiatives/fsoc/Pages/home.aspx" TargetMode="External"/><Relationship Id="rId138" Type="http://schemas.openxmlformats.org/officeDocument/2006/relationships/hyperlink" Target="http://www.ffiec.gov/hmda/" TargetMode="External"/><Relationship Id="rId154" Type="http://schemas.openxmlformats.org/officeDocument/2006/relationships/hyperlink" Target="http://www.ecfr.gov/cgi-bin/text-idx?c=ecfr&amp;SID=9cab7962ab7aa3e468e911638c817e0b&amp;rgn=div5&amp;view=text&amp;node=12:8.0.2.14.17&amp;idno=12" TargetMode="External"/><Relationship Id="rId159" Type="http://schemas.openxmlformats.org/officeDocument/2006/relationships/hyperlink" Target="http://www.treasury.gov" TargetMode="External"/><Relationship Id="rId16" Type="http://schemas.openxmlformats.org/officeDocument/2006/relationships/hyperlink" Target="http://www.consumerfinance.gov/blog/a-new-school-year-a-new-resource-for-parents-and-kids/" TargetMode="External"/><Relationship Id="rId107" Type="http://schemas.openxmlformats.org/officeDocument/2006/relationships/hyperlink" Target="http://www.fdic.gov/news/board/2013/2013-07-09_notice_dis_a_res.pdf" TargetMode="External"/><Relationship Id="rId11" Type="http://schemas.openxmlformats.org/officeDocument/2006/relationships/hyperlink" Target="http://www.consumerfinance.gov/your-money-your-goals/" TargetMode="External"/><Relationship Id="rId32" Type="http://schemas.openxmlformats.org/officeDocument/2006/relationships/hyperlink" Target="http://www.fdic.gov/news/news/financial/2012/fil12003.html" TargetMode="External"/><Relationship Id="rId37" Type="http://schemas.openxmlformats.org/officeDocument/2006/relationships/hyperlink" Target="http://www.occ.gov/news-issuances/bulletins/2014/bulletin-2014-37.html" TargetMode="External"/><Relationship Id="rId53" Type="http://schemas.openxmlformats.org/officeDocument/2006/relationships/hyperlink" Target="https://67.78.71.210/owa/redir.aspx?C=ub9ofx2Il0SmF7MXITV9h7P6OVotjNFIut-ZKIM6VN8KNZEZTR_xYW9gh2Tlsh76lf6Cq3157bs.&amp;URL=http%3a%2f%2fapp.frbcommunications.org%2fe%2fer%3fs%3d1064%26lid%3d2657%26elq%3d43f20cf42cfa42739134b738bbf1eab6" TargetMode="External"/><Relationship Id="rId58" Type="http://schemas.openxmlformats.org/officeDocument/2006/relationships/hyperlink" Target="http://www.frbservices.org/fedfocus/index.html" TargetMode="External"/><Relationship Id="rId74" Type="http://schemas.openxmlformats.org/officeDocument/2006/relationships/hyperlink" Target="https://www.federalregister.gov/articles/2013/12/31/2013-28210/integrated-mortgage-disclosures-under-the-real-estate-settlement-procedures-act-regulation-x-and-the" TargetMode="External"/><Relationship Id="rId79" Type="http://schemas.openxmlformats.org/officeDocument/2006/relationships/hyperlink" Target="http://www.occ.gov/news-issuances/news-releases/2014/nr-ia-2014-2a.pdf" TargetMode="External"/><Relationship Id="rId102" Type="http://schemas.openxmlformats.org/officeDocument/2006/relationships/hyperlink" Target="http://www.consumerfinance.gov/regulations/high-cost-mortgage-and-homeownership-counseling-amendments-to-regulation-z-and-homeownership-counseling-amendments-to-regulation-x/" TargetMode="External"/><Relationship Id="rId123" Type="http://schemas.openxmlformats.org/officeDocument/2006/relationships/hyperlink" Target="http://www.justice.gov/" TargetMode="External"/><Relationship Id="rId128" Type="http://schemas.openxmlformats.org/officeDocument/2006/relationships/hyperlink" Target="http://www.fhfa.gov/" TargetMode="External"/><Relationship Id="rId144" Type="http://schemas.openxmlformats.org/officeDocument/2006/relationships/hyperlink" Target="http://mortgage.nationwidelicensingsystem.org/Pages/default.aspx" TargetMode="External"/><Relationship Id="rId149" Type="http://schemas.openxmlformats.org/officeDocument/2006/relationships/hyperlink" Target="http://www.ecfr.gov/cgi-bin/text-idx?c=ecfr&amp;SID=9cab7962ab7aa3e468e911638c817e0b&amp;rgn=div5&amp;view=text&amp;node=12:8.0.2.14.2&amp;idno=12" TargetMode="External"/><Relationship Id="rId5" Type="http://schemas.openxmlformats.org/officeDocument/2006/relationships/webSettings" Target="webSettings.xml"/><Relationship Id="rId90" Type="http://schemas.openxmlformats.org/officeDocument/2006/relationships/hyperlink" Target="https://www.sec.gov/rules/final/2013/34-70462.pdf" TargetMode="External"/><Relationship Id="rId95" Type="http://schemas.openxmlformats.org/officeDocument/2006/relationships/hyperlink" Target="http://files.consumerfinance.gov/f/201401_cfpb_complaince-guide_loan-originator.pdf" TargetMode="External"/><Relationship Id="rId160" Type="http://schemas.openxmlformats.org/officeDocument/2006/relationships/fontTable" Target="fontTable.xml"/><Relationship Id="rId22" Type="http://schemas.openxmlformats.org/officeDocument/2006/relationships/hyperlink" Target="http://www.consumerfinance.gov/blog/consumer-advisory-dont-fall-for-a-foreclosure-relief-scam-or-bogus-legal-help/" TargetMode="External"/><Relationship Id="rId27" Type="http://schemas.openxmlformats.org/officeDocument/2006/relationships/hyperlink" Target="https://www.webcaster4.com/Webcast/Page/48/4689." TargetMode="External"/><Relationship Id="rId43" Type="http://schemas.openxmlformats.org/officeDocument/2006/relationships/hyperlink" Target="http://www.fico.com/en/about-us/newsroom/news-releases/fico-score-9-introduces-refined-analysis-medical-collections/" TargetMode="External"/><Relationship Id="rId48" Type="http://schemas.openxmlformats.org/officeDocument/2006/relationships/hyperlink" Target="http://www.fdic.gov/regulations/examinations/supervisory/insights/index.html?source=govdelivery&amp;utm_medium=email&amp;utm_source=govdelivery" TargetMode="External"/><Relationship Id="rId64" Type="http://schemas.openxmlformats.org/officeDocument/2006/relationships/hyperlink" Target="http://www.gao.gov/assets/670/664840.pdf" TargetMode="External"/><Relationship Id="rId69" Type="http://schemas.openxmlformats.org/officeDocument/2006/relationships/hyperlink" Target="http://www.ffiec.gov/hmcrpr/cra_fs14.htm" TargetMode="External"/><Relationship Id="rId113" Type="http://schemas.openxmlformats.org/officeDocument/2006/relationships/hyperlink" Target="https://www.federalregister.gov/articles/2013/09/17/2013-22583/federal-housing-administration-fha-approval-of-lending-institutions-and-mortgagees-streamlined" TargetMode="External"/><Relationship Id="rId118" Type="http://schemas.openxmlformats.org/officeDocument/2006/relationships/hyperlink" Target="http://www.gpo.gov/fdsys/browse/collectionCfr.action?collectionCode=CFR" TargetMode="External"/><Relationship Id="rId134" Type="http://schemas.openxmlformats.org/officeDocument/2006/relationships/hyperlink" Target="http://www.ftc.gov" TargetMode="External"/><Relationship Id="rId139" Type="http://schemas.openxmlformats.org/officeDocument/2006/relationships/hyperlink" Target="http://www.law.cornell.edu/topn/home_ownership_and_equity_protection_act_of_1994" TargetMode="External"/><Relationship Id="rId80" Type="http://schemas.openxmlformats.org/officeDocument/2006/relationships/hyperlink" Target="http://www.federalreserve.gov/newsevents/press/bcreg/bcreg20131210a1.pdf" TargetMode="External"/><Relationship Id="rId85" Type="http://schemas.openxmlformats.org/officeDocument/2006/relationships/hyperlink" Target="http://www.federalreserve.gov/newsevents/press/bcreg/bcreg20131210a4.pdf" TargetMode="External"/><Relationship Id="rId150" Type="http://schemas.openxmlformats.org/officeDocument/2006/relationships/hyperlink" Target="http://www.ecfr.gov/cgi-bin/text-idx?c=ecfr&amp;SID=9cab7962ab7aa3e468e911638c817e0b&amp;rgn=div5&amp;view=text&amp;node=12:8.0.2.14.19&amp;idno=12" TargetMode="External"/><Relationship Id="rId155" Type="http://schemas.openxmlformats.org/officeDocument/2006/relationships/hyperlink" Target="http://www.ecfr.gov/cgi-bin/text-idx?c=ecfr&amp;SID=9cab7962ab7aa3e468e911638c817e0b&amp;rgn=div5&amp;view=text&amp;node=12:8.0.2.14.18&amp;idno=12" TargetMode="External"/><Relationship Id="rId12" Type="http://schemas.openxmlformats.org/officeDocument/2006/relationships/hyperlink" Target="http://www.consumerfinance.gov/newsroom/cfpb-begins-accepting-consumer-complaints-on-prepaid-cards-and-additional-nonbank-products/" TargetMode="External"/><Relationship Id="rId17" Type="http://schemas.openxmlformats.org/officeDocument/2006/relationships/hyperlink" Target="http://www.consumerfinance.gov/blog/consumer-advisory-virtual-currencies-and-what-you-should-know-about-them/" TargetMode="External"/><Relationship Id="rId33" Type="http://schemas.openxmlformats.org/officeDocument/2006/relationships/hyperlink" Target="http://www.fdic.gov/news/news/financial/2013/fil13043.html" TargetMode="External"/><Relationship Id="rId38" Type="http://schemas.openxmlformats.org/officeDocument/2006/relationships/hyperlink" Target="http://www.fanniemae.com/resources/file/research/mlss/pdf/mlss-aug2014-presentation.pdf?zbrandid=740&amp;zidType=CH&amp;zid=8721714&amp;zsubscriberId=337601751&amp;zbdom=http://www.informz.net" TargetMode="External"/><Relationship Id="rId59" Type="http://schemas.openxmlformats.org/officeDocument/2006/relationships/hyperlink" Target="http://www.federalreserve.gov/boarddocs/SnLoanSurvey/201408/default.htm" TargetMode="External"/><Relationship Id="rId103" Type="http://schemas.openxmlformats.org/officeDocument/2006/relationships/hyperlink" Target="http://www.gpo.gov/fdsys/pkg/FR-2013-12-04/pdf/2013-28951.pdf" TargetMode="External"/><Relationship Id="rId108" Type="http://schemas.openxmlformats.org/officeDocument/2006/relationships/hyperlink" Target="http://www.fdic.gov/news/board/2013/2013-07-09_notice_dis_b_res.pdf" TargetMode="External"/><Relationship Id="rId124" Type="http://schemas.openxmlformats.org/officeDocument/2006/relationships/hyperlink" Target="https://www.fdic.gov/" TargetMode="External"/><Relationship Id="rId129" Type="http://schemas.openxmlformats.org/officeDocument/2006/relationships/hyperlink" Target="http://portal.hud.gov/hudportal/HUD?src=/federal_housing_administration" TargetMode="External"/><Relationship Id="rId20" Type="http://schemas.openxmlformats.org/officeDocument/2006/relationships/hyperlink" Target="http://www.consumerfinance.gov/blog/weve-extended-the-comment-period-for-our-complaint-narrative-policy/" TargetMode="External"/><Relationship Id="rId41" Type="http://schemas.openxmlformats.org/officeDocument/2006/relationships/hyperlink" Target="http://www.treasury.gov/resource-center/faqs/Sanctions/Pages/ques_index.aspx" TargetMode="External"/><Relationship Id="rId54" Type="http://schemas.openxmlformats.org/officeDocument/2006/relationships/hyperlink" Target="https://67.78.71.210/owa/redir.aspx?C=ub9ofx2Il0SmF7MXITV9h7P6OVotjNFIut-ZKIM6VN8KNZEZTR_xYW9gh2Tlsh76lf6Cq3157bs.&amp;URL=http%3a%2f%2fapp.frbcommunications.org%2fe%2fer%3fs%3d1064%26lid%3d2658%26elq%3d43f20cf42cfa42739134b738bbf1eab6" TargetMode="External"/><Relationship Id="rId62" Type="http://schemas.openxmlformats.org/officeDocument/2006/relationships/hyperlink" Target="http://www.federalreserve.gov/econresdata/2013-report-economic-well-being-us-households-201407.pdf" TargetMode="External"/><Relationship Id="rId70" Type="http://schemas.openxmlformats.org/officeDocument/2006/relationships/hyperlink" Target="https://www.federalregister.gov/articles/2014/08/15/2014-18838/truth-in-lending-regulation-z-annual-threshold-adjustments-card-act-hoepa-and-atrqm" TargetMode="External"/><Relationship Id="rId75" Type="http://schemas.openxmlformats.org/officeDocument/2006/relationships/hyperlink" Target="http://www.consumerfinance.gov/blog/a-final-rule-that-makes-mortgage-disclosure-better-for-consumers/" TargetMode="External"/><Relationship Id="rId83" Type="http://schemas.openxmlformats.org/officeDocument/2006/relationships/hyperlink" Target="http://www.federalreserve.gov/newsevents/press/bcreg/bcreg20131210a2.pdf" TargetMode="External"/><Relationship Id="rId88" Type="http://schemas.openxmlformats.org/officeDocument/2006/relationships/hyperlink" Target="https://www.federalregister.gov/articles/2013/12/26/2013-30108/appraisals-for-higher-priced-mortgage-loans" TargetMode="External"/><Relationship Id="rId91" Type="http://schemas.openxmlformats.org/officeDocument/2006/relationships/hyperlink" Target="https://www.federalregister.gov/articles/2013/11/14/2013-27300/homeownership-counseling-organizations-lists-interpretive-rule" TargetMode="External"/><Relationship Id="rId96" Type="http://schemas.openxmlformats.org/officeDocument/2006/relationships/hyperlink" Target="http://files.consumerfinance.gov/f/201305_cfpb_final-rule_credit-insurance-effective-date-delay-final-rule-for-ofr-submission.pdf" TargetMode="External"/><Relationship Id="rId111" Type="http://schemas.openxmlformats.org/officeDocument/2006/relationships/hyperlink" Target="http://www.consumerfinance.gov/remittances-transfer-rule-amendment-to-regulation-e/" TargetMode="External"/><Relationship Id="rId132" Type="http://schemas.openxmlformats.org/officeDocument/2006/relationships/hyperlink" Target="http://www.federalreserve.gov/" TargetMode="External"/><Relationship Id="rId140" Type="http://schemas.openxmlformats.org/officeDocument/2006/relationships/hyperlink" Target="http://www.ecfr.gov/cgi-bin/text-idx?c=ecfr&amp;SID=9cab7962ab7aa3e468e911638c817e0b&amp;rgn=div5&amp;view=text&amp;node=12:8.0.2.14.18&amp;idno=12" TargetMode="External"/><Relationship Id="rId145" Type="http://schemas.openxmlformats.org/officeDocument/2006/relationships/hyperlink" Target="http://www.occ.gov/" TargetMode="External"/><Relationship Id="rId153" Type="http://schemas.openxmlformats.org/officeDocument/2006/relationships/hyperlink" Target="http://www.ecfr.gov/cgi-bin/text-idx?c=ecfr&amp;SID=9cab7962ab7aa3e468e911638c817e0b&amp;rgn=div5&amp;view=text&amp;node=12:8.0.2.14.15&amp;idno=12"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merfinance.gov/blog/plan-and-protect-your-finances-with-a-my-social-security-account/" TargetMode="External"/><Relationship Id="rId23" Type="http://schemas.openxmlformats.org/officeDocument/2006/relationships/hyperlink" Target="http://www.consumerfinance.gov/blog/helping-build-financial-capability-across-america/" TargetMode="External"/><Relationship Id="rId28" Type="http://schemas.openxmlformats.org/officeDocument/2006/relationships/hyperlink" Target="http://www.philadelphiafed.org/bank-resources/publications/consumer-compliance-outlook/outlook-live/" TargetMode="External"/><Relationship Id="rId36" Type="http://schemas.openxmlformats.org/officeDocument/2006/relationships/hyperlink" Target="http://www.occ.gov/publications/publications-by-type/comptrollers-handbook/pub-ch-lease-financing.pdf" TargetMode="External"/><Relationship Id="rId49" Type="http://schemas.openxmlformats.org/officeDocument/2006/relationships/hyperlink" Target="http://www.fdic.gov/bank/analytical/quarterly/2014_vol8_3/mdi_study.pdf" TargetMode="External"/><Relationship Id="rId57" Type="http://schemas.openxmlformats.org/officeDocument/2006/relationships/hyperlink" Target="https://67.78.71.210/owa/redir.aspx?C=ub9ofx2Il0SmF7MXITV9h7P6OVotjNFIut-ZKIM6VN8KNZEZTR_xYW9gh2Tlsh76lf6Cq3157bs.&amp;URL=http%3a%2f%2fapp.frbcommunications.org%2fe%2fer%3fs%3d1064%26lid%3d2661%26elq%3d43f20cf42cfa42739134b738bbf1eab6" TargetMode="External"/><Relationship Id="rId106" Type="http://schemas.openxmlformats.org/officeDocument/2006/relationships/hyperlink" Target="http://www.federalreserve.gov/newsevents/press/bcreg/20130702a.htm" TargetMode="External"/><Relationship Id="rId114" Type="http://schemas.openxmlformats.org/officeDocument/2006/relationships/hyperlink" Target="https://www.federalregister.gov/articles/2013/09/26/2013-23229/rules-of-practice-for-issuance-of-temporary-cease-and-desist-orders" TargetMode="External"/><Relationship Id="rId119" Type="http://schemas.openxmlformats.org/officeDocument/2006/relationships/hyperlink" Target="http://www.ffiec.gov/cra/" TargetMode="External"/><Relationship Id="rId127" Type="http://schemas.openxmlformats.org/officeDocument/2006/relationships/hyperlink" Target="http://www.ffiec.gov/" TargetMode="External"/><Relationship Id="rId10" Type="http://schemas.openxmlformats.org/officeDocument/2006/relationships/hyperlink" Target="http://files.consumerfinance.gov/f/201408_cfpb_consumer-advisory_virtual-currencies.pdf?zbrandid=740&amp;zidType=CH&amp;zid=8708513&amp;zsubscriberId=337601751&amp;zbdom=http://www.informz.net" TargetMode="External"/><Relationship Id="rId31" Type="http://schemas.openxmlformats.org/officeDocument/2006/relationships/hyperlink" Target="http://www.fdic.gov/news/news/financial/2008/fil08127.html" TargetMode="External"/><Relationship Id="rId44" Type="http://schemas.openxmlformats.org/officeDocument/2006/relationships/hyperlink" Target="http://www.creditsecuritygroup.com/pages/index.html" TargetMode="External"/><Relationship Id="rId52" Type="http://schemas.openxmlformats.org/officeDocument/2006/relationships/hyperlink" Target="https://67.78.71.210/owa/redir.aspx?C=ub9ofx2Il0SmF7MXITV9h7P6OVotjNFIut-ZKIM6VN8KNZEZTR_xYW9gh2Tlsh76lf6Cq3157bs.&amp;URL=http%3a%2f%2fapp.frbcommunications.org%2fe%2fer%3fs%3d1064%26lid%3d2656%26elq%3d43f20cf42cfa42739134b738bbf1eab6" TargetMode="External"/><Relationship Id="rId60" Type="http://schemas.openxmlformats.org/officeDocument/2006/relationships/hyperlink" Target="http://www.frbservices.org/files/communications/pdf/general/2013_fed_res_paymt_study_detailed_rpt.pdf" TargetMode="External"/><Relationship Id="rId65" Type="http://schemas.openxmlformats.org/officeDocument/2006/relationships/hyperlink" Target="http://www.gao.gov/products/GAO-14-551" TargetMode="External"/><Relationship Id="rId73" Type="http://schemas.openxmlformats.org/officeDocument/2006/relationships/hyperlink" Target="http://www.fdic.gov/regulations/capital" TargetMode="External"/><Relationship Id="rId78" Type="http://schemas.openxmlformats.org/officeDocument/2006/relationships/hyperlink" Target="http://www.treasury.gov/resource-center/tax-policy/treaties/Pages/FATCA-Archive.aspx" TargetMode="External"/><Relationship Id="rId81" Type="http://schemas.openxmlformats.org/officeDocument/2006/relationships/hyperlink" Target="http://www.federalreserve.gov/newsevents/press/bcreg/bcreg20131210a-bernanke-statement.htm" TargetMode="External"/><Relationship Id="rId86" Type="http://schemas.openxmlformats.org/officeDocument/2006/relationships/hyperlink" Target="http://www.gpo.gov/fdsys/pkg/FR-2014-02-28/pdf/2014-04331.pdf" TargetMode="External"/><Relationship Id="rId94" Type="http://schemas.openxmlformats.org/officeDocument/2006/relationships/hyperlink" Target="http://www.consumerfinance.gov/regulations/loan-originator-compensation-requirements-under-the-truth-in-lending-act-regulation-z/" TargetMode="External"/><Relationship Id="rId99" Type="http://schemas.openxmlformats.org/officeDocument/2006/relationships/hyperlink" Target="https://www.federalregister.gov/articles/2013/07/24/2013-16962/amendments-to-the-2013-mortgage-rules-under-the-real-estate-settlement-procedures-act-regulation-x" TargetMode="External"/><Relationship Id="rId101" Type="http://schemas.openxmlformats.org/officeDocument/2006/relationships/hyperlink" Target="http://www.consumerfinance.gov/regulations/ability-to-repay-and-qualified-mortgage-standards-under-the-truth-in-lending-act-regulation-z/" TargetMode="External"/><Relationship Id="rId122" Type="http://schemas.openxmlformats.org/officeDocument/2006/relationships/hyperlink" Target="http://www.law.cornell.edu/topn/dodd-frank_wall_street_reform_and_consumer_protection_act" TargetMode="External"/><Relationship Id="rId130" Type="http://schemas.openxmlformats.org/officeDocument/2006/relationships/hyperlink" Target="http://www.fincen.gov" TargetMode="External"/><Relationship Id="rId135" Type="http://schemas.openxmlformats.org/officeDocument/2006/relationships/hyperlink" Target="http://www.gao.gov" TargetMode="External"/><Relationship Id="rId143" Type="http://schemas.openxmlformats.org/officeDocument/2006/relationships/hyperlink" Target="http://www.fema.gov/national-flood-insurance-program" TargetMode="External"/><Relationship Id="rId148" Type="http://schemas.openxmlformats.org/officeDocument/2006/relationships/hyperlink" Target="http://www.ecfr.gov/cgi-bin/text-idx?c=ecfr&amp;SID=9cab7962ab7aa3e468e911638c817e0b&amp;rgn=div5&amp;view=text&amp;node=12:8.0.2.14.1&amp;idno=12" TargetMode="External"/><Relationship Id="rId151" Type="http://schemas.openxmlformats.org/officeDocument/2006/relationships/hyperlink" Target="http://www.ecfr.gov/cgi-bin/text-idx?c=ecfr&amp;SID=9cab7962ab7aa3e468e911638c817e0b&amp;rgn=div5&amp;view=text&amp;node=12:8.0.2.14.4&amp;idno=12" TargetMode="External"/><Relationship Id="rId156" Type="http://schemas.openxmlformats.org/officeDocument/2006/relationships/hyperlink" Target="http://portal.hud.gov/hudportal/HUD?src=/program_offices/housing/rmra/res/respa_hm" TargetMode="Externa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hyperlink" Target="http://www.consumerfinance.gov/complaintdatabase/" TargetMode="External"/><Relationship Id="rId18" Type="http://schemas.openxmlformats.org/officeDocument/2006/relationships/hyperlink" Target="http://www.consumerfinance.gov/blog/alerting-colleges-about-secret-banking-contracts/" TargetMode="External"/><Relationship Id="rId39" Type="http://schemas.openxmlformats.org/officeDocument/2006/relationships/hyperlink" Target="http://www.fincen.gov/statutes_regs/guidance/pdf/FIN-2014-A007.pdf" TargetMode="External"/><Relationship Id="rId109" Type="http://schemas.openxmlformats.org/officeDocument/2006/relationships/hyperlink" Target="http://www.occ.gov/news-issuances/news-releases/2013/nr-occ-2013-110.html" TargetMode="External"/><Relationship Id="rId34" Type="http://schemas.openxmlformats.org/officeDocument/2006/relationships/hyperlink" Target="http://www.fdic.gov/regulations/examinations/supervisory/insights/sisum" TargetMode="External"/><Relationship Id="rId50" Type="http://schemas.openxmlformats.org/officeDocument/2006/relationships/hyperlink" Target="http://www.fdic.gov/news/news/press/2014/pr14059.html" TargetMode="External"/><Relationship Id="rId55" Type="http://schemas.openxmlformats.org/officeDocument/2006/relationships/hyperlink" Target="https://67.78.71.210/owa/redir.aspx?C=ub9ofx2Il0SmF7MXITV9h7P6OVotjNFIut-ZKIM6VN8KNZEZTR_xYW9gh2Tlsh76lf6Cq3157bs.&amp;URL=http%3a%2f%2fapp.frbcommunications.org%2fe%2fer%3fs%3d1064%26lid%3d2659%26elq%3d43f20cf42cfa42739134b738bbf1eab6" TargetMode="External"/><Relationship Id="rId76" Type="http://schemas.openxmlformats.org/officeDocument/2006/relationships/hyperlink" Target="http://www.ibat.org/pdfs/2011/04/18/final-federal-rules" TargetMode="External"/><Relationship Id="rId97" Type="http://schemas.openxmlformats.org/officeDocument/2006/relationships/hyperlink" Target="http://files.consumerfinance.gov/f/201401_cfpb_complaince-guide_loan-originator.pdf" TargetMode="External"/><Relationship Id="rId104" Type="http://schemas.openxmlformats.org/officeDocument/2006/relationships/hyperlink" Target="https://www.federalregister.gov/articles/2013/09/10/2013-20536/regulatory-capital-rules-regulatory-capital-implementation-of-basel-iii-capital-adequacy-transition" TargetMode="External"/><Relationship Id="rId120" Type="http://schemas.openxmlformats.org/officeDocument/2006/relationships/hyperlink" Target="http://www.csbs.org/Pages/default.aspx" TargetMode="External"/><Relationship Id="rId125" Type="http://schemas.openxmlformats.org/officeDocument/2006/relationships/hyperlink" Target="http://www.fdic.gov/regulations/laws/rules/6500-1350.html" TargetMode="External"/><Relationship Id="rId141" Type="http://schemas.openxmlformats.org/officeDocument/2006/relationships/hyperlink" Target="http://www.hud.gov" TargetMode="External"/><Relationship Id="rId146" Type="http://schemas.openxmlformats.org/officeDocument/2006/relationships/hyperlink" Target="http://www.treasury.gov/about/organizational-structure/offices/Pages/Office-of-Foreign-Assets-Control.aspx" TargetMode="External"/><Relationship Id="rId7" Type="http://schemas.openxmlformats.org/officeDocument/2006/relationships/endnotes" Target="endnotes.xml"/><Relationship Id="rId71" Type="http://schemas.openxmlformats.org/officeDocument/2006/relationships/hyperlink" Target="http://portal.hud.gov/hudportal/documents/huddoc?id=92070.pdf" TargetMode="External"/><Relationship Id="rId92" Type="http://schemas.openxmlformats.org/officeDocument/2006/relationships/hyperlink" Target="https://www.federalregister.gov/articles/2013/12/11/2013-29482/qualified-mortgage-definition-for-hud-insured-and-guaranteed-single-family-mortgages" TargetMode="External"/><Relationship Id="rId2" Type="http://schemas.openxmlformats.org/officeDocument/2006/relationships/numbering" Target="numbering.xml"/><Relationship Id="rId29" Type="http://schemas.openxmlformats.org/officeDocument/2006/relationships/hyperlink" Target="http://www.fdic.gov/consumers/banking/youthsavingspilot/" TargetMode="External"/><Relationship Id="rId24" Type="http://schemas.openxmlformats.org/officeDocument/2006/relationships/hyperlink" Target="http://www.consumerfinance.gov/blog/three-years-of-standing-up-for-consumers/" TargetMode="External"/><Relationship Id="rId40" Type="http://schemas.openxmlformats.org/officeDocument/2006/relationships/hyperlink" Target="http://www.treasury.gov/resource-center/sanctions/Documents/licensing_guidance.pdf" TargetMode="External"/><Relationship Id="rId45" Type="http://schemas.openxmlformats.org/officeDocument/2006/relationships/hyperlink" Target="http://files.consumerfinance.gov/f/201407_cfpb_report_data-point_overdrafts.pdf" TargetMode="External"/><Relationship Id="rId66" Type="http://schemas.openxmlformats.org/officeDocument/2006/relationships/hyperlink" Target="http://www.fdicig.gov/reports14/14-002EV.pdf?source=govdelivery&amp;utm_medium=email&amp;utm_source=govdelivery" TargetMode="External"/><Relationship Id="rId87" Type="http://schemas.openxmlformats.org/officeDocument/2006/relationships/hyperlink" Target="http://www.consumerfinance.gov/regulations/appraisals-for-higher-priced-mortgage-loans/" TargetMode="External"/><Relationship Id="rId110" Type="http://schemas.openxmlformats.org/officeDocument/2006/relationships/hyperlink" Target="https://www.federalregister.gov/articles/2013/05/03/2013-10429/truth-in-lending-regulation-z" TargetMode="External"/><Relationship Id="rId115" Type="http://schemas.openxmlformats.org/officeDocument/2006/relationships/footer" Target="footer1.xml"/><Relationship Id="rId131" Type="http://schemas.openxmlformats.org/officeDocument/2006/relationships/hyperlink" Target="https://www.federalregister.gov/" TargetMode="External"/><Relationship Id="rId136" Type="http://schemas.openxmlformats.org/officeDocument/2006/relationships/hyperlink" Target="http://harpprogram.org/" TargetMode="External"/><Relationship Id="rId157" Type="http://schemas.openxmlformats.org/officeDocument/2006/relationships/hyperlink" Target="http://www.fincen.gov/forms/bsa_forms/" TargetMode="External"/><Relationship Id="rId61" Type="http://schemas.openxmlformats.org/officeDocument/2006/relationships/hyperlink" Target="http://www.federalreserve.gov/publications/other-reports/files/government-prepaid-report-201407.pdf" TargetMode="External"/><Relationship Id="rId82" Type="http://schemas.openxmlformats.org/officeDocument/2006/relationships/hyperlink" Target="http://www.federalreserve.gov/newsevents/press/bcreg/bcreg20131210a-tarullo-statement.htm" TargetMode="External"/><Relationship Id="rId152" Type="http://schemas.openxmlformats.org/officeDocument/2006/relationships/hyperlink" Target="http://www.ecfr.gov/cgi-bin/text-idx?c=ecfr&amp;tpl=/ecfrbrowse/Title12/12cfr1007_main_02.tpl" TargetMode="External"/><Relationship Id="rId19" Type="http://schemas.openxmlformats.org/officeDocument/2006/relationships/hyperlink" Target="http://www.consumerfinance.gov/blog/your-money-your-goals-financial-empowerment-tools-for-social-services/" TargetMode="External"/><Relationship Id="rId14" Type="http://schemas.openxmlformats.org/officeDocument/2006/relationships/hyperlink" Target="http://www.consumerfinance.gov/newsroom/cfpb-proposes-rule-to-improve-information-about-access-to-credit-in-the-mortgage-market/?utm_source=newsletter&amp;utm_medium=email&amp;utm_campaign=20140724+regimp" TargetMode="External"/><Relationship Id="rId30" Type="http://schemas.openxmlformats.org/officeDocument/2006/relationships/hyperlink" Target="http://www.fdic.gov/news/news/financial/2014/fil14041.pdf" TargetMode="External"/><Relationship Id="rId35" Type="http://schemas.openxmlformats.org/officeDocument/2006/relationships/hyperlink" Target="http://www.fdic.gov/news/news/financial/2014/fil14040.pdf" TargetMode="External"/><Relationship Id="rId56" Type="http://schemas.openxmlformats.org/officeDocument/2006/relationships/hyperlink" Target="https://67.78.71.210/owa/redir.aspx?C=ub9ofx2Il0SmF7MXITV9h7P6OVotjNFIut-ZKIM6VN8KNZEZTR_xYW9gh2Tlsh76lf6Cq3157bs.&amp;URL=http%3a%2f%2fapp.frbcommunications.org%2fe%2fer%3fs%3d1064%26lid%3d2660%26elq%3d43f20cf42cfa42739134b738bbf1eab6" TargetMode="External"/><Relationship Id="rId77" Type="http://schemas.openxmlformats.org/officeDocument/2006/relationships/hyperlink" Target="http://www.treasury.gov/resource-center/tax-policy/treaties/Pages/FATCA.aspx" TargetMode="External"/><Relationship Id="rId100" Type="http://schemas.openxmlformats.org/officeDocument/2006/relationships/hyperlink" Target="http://files.consumerfinance.gov/f/201309_cfpb_titlexiv_updates.pdf" TargetMode="External"/><Relationship Id="rId105" Type="http://schemas.openxmlformats.org/officeDocument/2006/relationships/hyperlink" Target="https://www.federalregister.gov/articles/2013/10/11/2013-21653/regulatory-capital-rules-regulatory-capital-implementation-of-basel-iii-capital-adequacy-transition" TargetMode="External"/><Relationship Id="rId126" Type="http://schemas.openxmlformats.org/officeDocument/2006/relationships/hyperlink" Target="http://www.fema.gov" TargetMode="External"/><Relationship Id="rId147" Type="http://schemas.openxmlformats.org/officeDocument/2006/relationships/hyperlink" Target="http://www.occ.gov/topics/credit/commercial-credit/other-real-estate-owned.html" TargetMode="External"/><Relationship Id="rId8" Type="http://schemas.openxmlformats.org/officeDocument/2006/relationships/image" Target="media/image2.jpeg"/><Relationship Id="rId51" Type="http://schemas.openxmlformats.org/officeDocument/2006/relationships/hyperlink" Target="http://www.frbservices.org/fedflash/index.html" TargetMode="External"/><Relationship Id="rId72" Type="http://schemas.openxmlformats.org/officeDocument/2006/relationships/hyperlink" Target="http://www.fdic.gov/news/news/financial/2013/fil13031.html" TargetMode="External"/><Relationship Id="rId93" Type="http://schemas.openxmlformats.org/officeDocument/2006/relationships/hyperlink" Target="https://www.federalregister.gov/articles/2013/10/23/2013-24521/amendments-to-the-2013-mortgage-rules-under-the-real-estate-settlement-procedures-act-regulation-x" TargetMode="External"/><Relationship Id="rId98" Type="http://schemas.openxmlformats.org/officeDocument/2006/relationships/hyperlink" Target="http://www.consumerfinance.gov/regulations/2013-real-estate-settlement-procedures-act-regulation-x-and-truth-in-lending-act-regulation-z-mortgage-servicing-final-rules/" TargetMode="External"/><Relationship Id="rId121" Type="http://schemas.openxmlformats.org/officeDocument/2006/relationships/hyperlink" Target="http://www.fincen.gov/forms/bsa_forms/" TargetMode="External"/><Relationship Id="rId142" Type="http://schemas.openxmlformats.org/officeDocument/2006/relationships/hyperlink" Target="vhttp://www.irs.gov/" TargetMode="External"/><Relationship Id="rId3" Type="http://schemas.openxmlformats.org/officeDocument/2006/relationships/styles" Target="styles.xml"/><Relationship Id="rId25" Type="http://schemas.openxmlformats.org/officeDocument/2006/relationships/hyperlink" Target="http://www.consumerfinance.gov/blog/live-from-el-paso/" TargetMode="External"/><Relationship Id="rId46" Type="http://schemas.openxmlformats.org/officeDocument/2006/relationships/hyperlink" Target="http://files.consumerfinance.gov/f/201306_cfpb_whitepaper_overdraft-practices.pdf" TargetMode="External"/><Relationship Id="rId67" Type="http://schemas.openxmlformats.org/officeDocument/2006/relationships/hyperlink" Target="http://www.occ.gov/news-issuances/speeches/2014/pub-speech-2014-111.pdf" TargetMode="External"/><Relationship Id="rId116" Type="http://schemas.openxmlformats.org/officeDocument/2006/relationships/hyperlink" Target="http://www.law.cornell.edu/topn/credit_card_accountability_responsibility_and_disclosure_act_of_2009" TargetMode="External"/><Relationship Id="rId137" Type="http://schemas.openxmlformats.org/officeDocument/2006/relationships/hyperlink" Target="http://www.makinghomeaffordable.gov/programs/lower-payments/Pages/hamp.aspx" TargetMode="External"/><Relationship Id="rId158" Type="http://schemas.openxmlformats.org/officeDocument/2006/relationships/hyperlink" Target="http://www.law.cornell.edu/uscode/text/15/chapter-41"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treasury.gov/resource-center/faqs/Sanctions/Pages/ques_index.aspx" TargetMode="External"/><Relationship Id="rId18" Type="http://schemas.openxmlformats.org/officeDocument/2006/relationships/hyperlink" Target="http://www.fdic.gov/regulations/examinations/supervisory/insights/index.html?source=govdelivery&amp;utm_medium=email&amp;utm_source=govdelivery" TargetMode="External"/><Relationship Id="rId26" Type="http://schemas.openxmlformats.org/officeDocument/2006/relationships/hyperlink" Target="http://www.federalreserve.gov/econresdata/2013-report-economic-well-being-us-households-201407.pdf" TargetMode="External"/><Relationship Id="rId39" Type="http://schemas.openxmlformats.org/officeDocument/2006/relationships/hyperlink" Target="http://www.federalreserve.gov/newsevents/press/bcreg/bcreg20131210a1.pdf" TargetMode="External"/><Relationship Id="rId21" Type="http://schemas.openxmlformats.org/officeDocument/2006/relationships/hyperlink" Target="http://www.frbservices.org/fedflash/index.html" TargetMode="External"/><Relationship Id="rId34" Type="http://schemas.openxmlformats.org/officeDocument/2006/relationships/hyperlink" Target="http://www.fdic.gov/news/news/financial/2013/fil13031.html" TargetMode="External"/><Relationship Id="rId42" Type="http://schemas.openxmlformats.org/officeDocument/2006/relationships/hyperlink" Target="http://www.consumerfinance.gov/regulations/disclosure-and-delivery-requirements-for-copies-of-appraisals-and-other-written-valuations-under-the-equal-credit-opportunity-act-regulation-b/" TargetMode="External"/><Relationship Id="rId47" Type="http://schemas.openxmlformats.org/officeDocument/2006/relationships/hyperlink" Target="http://files.consumerfinance.gov/f/201401_cfpb_complaince-guide_loan-originator.pdf" TargetMode="External"/><Relationship Id="rId50" Type="http://schemas.openxmlformats.org/officeDocument/2006/relationships/hyperlink" Target="http://www.consumerfinance.gov/regulations/2013-real-estate-settlement-procedures-act-regulation-x-and-truth-in-lending-act-regulation-z-mortgage-servicing-final-rules/" TargetMode="External"/><Relationship Id="rId55" Type="http://schemas.openxmlformats.org/officeDocument/2006/relationships/hyperlink" Target="https://www.federalregister.gov/articles/2013/09/10/2013-20536/regulatory-capital-rules-regulatory-capital-implementation-of-basel-iii-capital-adequacy-transition" TargetMode="External"/><Relationship Id="rId7" Type="http://schemas.openxmlformats.org/officeDocument/2006/relationships/hyperlink" Target="http://www.fdic.gov/consumers/banking/youthsavingspilot/" TargetMode="External"/><Relationship Id="rId2" Type="http://schemas.openxmlformats.org/officeDocument/2006/relationships/hyperlink" Target="http://www.consumerfinance.gov/your-money-your-goals/" TargetMode="External"/><Relationship Id="rId16" Type="http://schemas.openxmlformats.org/officeDocument/2006/relationships/hyperlink" Target="http://files.consumerfinance.gov/f/201306_cfpb_whitepaper_overdraft-practices.pdf" TargetMode="External"/><Relationship Id="rId20" Type="http://schemas.openxmlformats.org/officeDocument/2006/relationships/hyperlink" Target="http://www.fdic.gov/news/news/press/2014/pr14059.html" TargetMode="External"/><Relationship Id="rId29" Type="http://schemas.openxmlformats.org/officeDocument/2006/relationships/hyperlink" Target="http://www.occ.gov/news-issuances/speeches/2014/pub-speech-2014-111.pdf" TargetMode="External"/><Relationship Id="rId41" Type="http://schemas.openxmlformats.org/officeDocument/2006/relationships/hyperlink" Target="https://www.federalregister.gov/articles/2013/12/26/2013-30108/appraisals-for-higher-priced-mortgage-loans" TargetMode="External"/><Relationship Id="rId54" Type="http://schemas.openxmlformats.org/officeDocument/2006/relationships/hyperlink" Target="http://www.gpo.gov/fdsys/pkg/FR-2013-12-04/pdf/2013-28951.pdf" TargetMode="External"/><Relationship Id="rId1" Type="http://schemas.openxmlformats.org/officeDocument/2006/relationships/hyperlink" Target="http://files.consumerfinance.gov/f/201408_cfpb_consumer-advisory_virtual-currencies.pdf?zbrandid=740&amp;zidType=CH&amp;zid=8708513&amp;zsubscriberId=337601751&amp;zbdom=http://www.informz.net" TargetMode="External"/><Relationship Id="rId6" Type="http://schemas.openxmlformats.org/officeDocument/2006/relationships/hyperlink" Target="http://www.philadelphiafed.org/bank-resources/publications/consumer-compliance-outlook/outlook-live/" TargetMode="External"/><Relationship Id="rId11" Type="http://schemas.openxmlformats.org/officeDocument/2006/relationships/hyperlink" Target="http://www.fincen.gov/statutes_regs/guidance/pdf/FIN-2014-A007.pdf" TargetMode="External"/><Relationship Id="rId24" Type="http://schemas.openxmlformats.org/officeDocument/2006/relationships/hyperlink" Target="http://www.frbservices.org/files/communications/pdf/general/2013_fed_res_paymt_study_detailed_rpt.pdf" TargetMode="External"/><Relationship Id="rId32" Type="http://schemas.openxmlformats.org/officeDocument/2006/relationships/hyperlink" Target="https://www.federalregister.gov/articles/2014/08/15/2014-18838/truth-in-lending-regulation-z-annual-threshold-adjustments-card-act-hoepa-and-atrqm" TargetMode="External"/><Relationship Id="rId37" Type="http://schemas.openxmlformats.org/officeDocument/2006/relationships/hyperlink" Target="http://www.treasury.gov/resource-center/tax-policy/treaties/Pages/FATCA-Archive.aspx" TargetMode="External"/><Relationship Id="rId40" Type="http://schemas.openxmlformats.org/officeDocument/2006/relationships/hyperlink" Target="http://www.consumerfinance.gov/regulations/appraisals-for-higher-priced-mortgage-loans/" TargetMode="External"/><Relationship Id="rId45" Type="http://schemas.openxmlformats.org/officeDocument/2006/relationships/hyperlink" Target="https://www.federalregister.gov/articles/2013/12/11/2013-29482/qualified-mortgage-definition-for-hud-insured-and-guaranteed-single-family-mortgages" TargetMode="External"/><Relationship Id="rId53" Type="http://schemas.openxmlformats.org/officeDocument/2006/relationships/hyperlink" Target="http://files.consumerfinance.gov/f/201301_cfpb_final-rule_high-cost-mortgages.pdf" TargetMode="External"/><Relationship Id="rId58" Type="http://schemas.openxmlformats.org/officeDocument/2006/relationships/hyperlink" Target="http://www.fdic.gov/news/board/2013/2013-07-09_notice_dis_a_res.pdf" TargetMode="External"/><Relationship Id="rId5" Type="http://schemas.openxmlformats.org/officeDocument/2006/relationships/hyperlink" Target="https://www.webcaster4.com/Webcast/Page/48/4689" TargetMode="External"/><Relationship Id="rId15" Type="http://schemas.openxmlformats.org/officeDocument/2006/relationships/hyperlink" Target="http://files.consumerfinance.gov/f/201407_cfpb_report_data-point_overdrafts.pdf" TargetMode="External"/><Relationship Id="rId23" Type="http://schemas.openxmlformats.org/officeDocument/2006/relationships/hyperlink" Target="http://www.federalreserve.gov/boarddocs/SnLoanSurvey/201408/default.htm" TargetMode="External"/><Relationship Id="rId28" Type="http://schemas.openxmlformats.org/officeDocument/2006/relationships/hyperlink" Target="http://www.fdicig.gov/reports14/14-002EV.pdf?source=govdelivery&amp;utm_medium=email&amp;utm_source=govdelivery" TargetMode="External"/><Relationship Id="rId36" Type="http://schemas.openxmlformats.org/officeDocument/2006/relationships/hyperlink" Target="http://www.treasury.gov/resource-center/tax-policy/treaties/Pages/FATCA.aspx" TargetMode="External"/><Relationship Id="rId49" Type="http://schemas.openxmlformats.org/officeDocument/2006/relationships/hyperlink" Target="http://files.consumerfinance.gov/f/201401_cfpb_complaince-guide_loan-originator.pdf" TargetMode="External"/><Relationship Id="rId57" Type="http://schemas.openxmlformats.org/officeDocument/2006/relationships/hyperlink" Target="http://www.federalreserve.gov/newsevents/press/bcreg/20130702a.htm" TargetMode="External"/><Relationship Id="rId61" Type="http://schemas.openxmlformats.org/officeDocument/2006/relationships/hyperlink" Target="https://www.federalregister.gov/articles/2013/09/17/2013-22583/federal-housing-administration-fha-approval-of-lending-institutions-and-mortgagees-streamlined" TargetMode="External"/><Relationship Id="rId10" Type="http://schemas.openxmlformats.org/officeDocument/2006/relationships/hyperlink" Target="http://www.fanniemae.com/resources/file/research/mlss/pdf/mlss-aug2014-presentation.pdf?zbrandid=740&amp;zidType=CH&amp;zid=8721714&amp;zsubscriberId=337601751&amp;zbdom=http://www.informz.net" TargetMode="External"/><Relationship Id="rId19" Type="http://schemas.openxmlformats.org/officeDocument/2006/relationships/hyperlink" Target="http://www.fdic.gov/bank/analytical/quarterly/2014_vol8_3/mdi_study.pdf" TargetMode="External"/><Relationship Id="rId31" Type="http://schemas.openxmlformats.org/officeDocument/2006/relationships/hyperlink" Target="http://www.ffiec.gov/hmcrpr/cra_fs14.htm" TargetMode="External"/><Relationship Id="rId44" Type="http://schemas.openxmlformats.org/officeDocument/2006/relationships/hyperlink" Target="https://www.federalregister.gov/articles/2013/11/14/2013-27300/homeownership-counseling-organizations-lists-interpretive-rule" TargetMode="External"/><Relationship Id="rId52" Type="http://schemas.openxmlformats.org/officeDocument/2006/relationships/hyperlink" Target="http://www.consumerfinance.gov/regulations/ability-to-repay-and-qualified-mortgage-standards-under-the-truth-in-lending-act-regulation-z/" TargetMode="External"/><Relationship Id="rId60" Type="http://schemas.openxmlformats.org/officeDocument/2006/relationships/hyperlink" Target="http://www.occ.gov/news-issuances/news-releases/2013/nr-occ-2013-110.html" TargetMode="External"/><Relationship Id="rId4" Type="http://schemas.openxmlformats.org/officeDocument/2006/relationships/hyperlink" Target="http://www.consumerfinance.gov/complaintdatabase/" TargetMode="External"/><Relationship Id="rId9" Type="http://schemas.openxmlformats.org/officeDocument/2006/relationships/hyperlink" Target="http://www.occ.gov/news-issuances/bulletins/2014/bulletin-2014-37.html" TargetMode="External"/><Relationship Id="rId14" Type="http://schemas.openxmlformats.org/officeDocument/2006/relationships/hyperlink" Target="http://www.fico.com/en/about-us/newsroom/news-releases/fico-score-9-introduces-refined-analysis-medical-collections/" TargetMode="External"/><Relationship Id="rId22" Type="http://schemas.openxmlformats.org/officeDocument/2006/relationships/hyperlink" Target="http://www.frbservices.org/fedfocus/index.html" TargetMode="External"/><Relationship Id="rId27" Type="http://schemas.openxmlformats.org/officeDocument/2006/relationships/hyperlink" Target="http://www.gao.gov/assets/670/664840.pdf" TargetMode="External"/><Relationship Id="rId30" Type="http://schemas.openxmlformats.org/officeDocument/2006/relationships/hyperlink" Target="http://www.consumerfinance.gov/newsroom/prepared-remarks-of-cfpb-director-richard-cordray-at-the-association-of-military-banks-of-america/" TargetMode="External"/><Relationship Id="rId35" Type="http://schemas.openxmlformats.org/officeDocument/2006/relationships/hyperlink" Target="https://www.federalregister.gov/articles/2013/12/31/2013-28210/integrated-mortgage-disclosures-under-the-real-estate-settlement-procedures-act-regulation-x-and-the" TargetMode="External"/><Relationship Id="rId43" Type="http://schemas.openxmlformats.org/officeDocument/2006/relationships/hyperlink" Target="https://www.sec.gov/rules/final/2013/34-70462.pdf" TargetMode="External"/><Relationship Id="rId48" Type="http://schemas.openxmlformats.org/officeDocument/2006/relationships/hyperlink" Target="http://files.consumerfinance.gov/f/201305_cfpb_final-rule_credit-insurance-effective-date-delay-final-rule-for-ofr-submission.pdf" TargetMode="External"/><Relationship Id="rId56" Type="http://schemas.openxmlformats.org/officeDocument/2006/relationships/hyperlink" Target="https://www.federalregister.gov/articles/2013/10/11/2013-21653/regulatory-capital-rules-regulatory-capital-implementation-of-basel-iii-capital-adequacy-transition" TargetMode="External"/><Relationship Id="rId8" Type="http://schemas.openxmlformats.org/officeDocument/2006/relationships/hyperlink" Target="http://www.fdic.gov/news/news/financial/2014/fil14040.pdf" TargetMode="External"/><Relationship Id="rId51" Type="http://schemas.openxmlformats.org/officeDocument/2006/relationships/hyperlink" Target="https://www.federalregister.gov/articles/2013/07/24/2013-16962/amendments-to-the-2013-mortgage-rules-under-the-real-estate-settlement-procedures-act-regulation-x" TargetMode="External"/><Relationship Id="rId3" Type="http://schemas.openxmlformats.org/officeDocument/2006/relationships/hyperlink" Target="http://www.consumerfinance.gov/newsroom/cfpb-begins-accepting-consumer-complaints-on-prepaid-cards-and-additional-nonbank-products/" TargetMode="External"/><Relationship Id="rId12" Type="http://schemas.openxmlformats.org/officeDocument/2006/relationships/hyperlink" Target="http://www.treasury.gov/resource-center/sanctions/Documents/licensing_guidance.pdf" TargetMode="External"/><Relationship Id="rId17" Type="http://schemas.openxmlformats.org/officeDocument/2006/relationships/hyperlink" Target="http://files.consumerfinance.gov/f/201407_cfpb_report_financial-literacy-annual-report.pdf" TargetMode="External"/><Relationship Id="rId25" Type="http://schemas.openxmlformats.org/officeDocument/2006/relationships/hyperlink" Target="http://www.federalreserve.gov/publications/other-reports/files/government-prepaid-report-201407.pdf" TargetMode="External"/><Relationship Id="rId33" Type="http://schemas.openxmlformats.org/officeDocument/2006/relationships/hyperlink" Target="http://portal.hud.gov/hudportal/documents/huddoc?id=92070.pdf" TargetMode="External"/><Relationship Id="rId38" Type="http://schemas.openxmlformats.org/officeDocument/2006/relationships/hyperlink" Target="http://www.occ.gov/news-issuances/news-releases/2014/nr-ia-2014-2a.pdf" TargetMode="External"/><Relationship Id="rId46" Type="http://schemas.openxmlformats.org/officeDocument/2006/relationships/hyperlink" Target="http://www.consumerfinance.gov/regulations/loan-originator-compensation-requirements-under-the-truth-in-lending-act-regulation-z/" TargetMode="External"/><Relationship Id="rId59" Type="http://schemas.openxmlformats.org/officeDocument/2006/relationships/hyperlink" Target="http://www.fdic.gov/news/board/2013/2013-07-09_notice_dis_b_r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394D-A28F-44EF-9B46-FEDB54B9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10803</Words>
  <Characters>61580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Capitol Comments March 2010</vt:lpstr>
    </vt:vector>
  </TitlesOfParts>
  <Company>ibat</Company>
  <LinksUpToDate>false</LinksUpToDate>
  <CharactersWithSpaces>72239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Comments March 2010</dc:title>
  <dc:creator>Shannon Phillips</dc:creator>
  <cp:lastModifiedBy>Carolyn Bose</cp:lastModifiedBy>
  <cp:revision>3</cp:revision>
  <cp:lastPrinted>2014-08-19T15:13:00Z</cp:lastPrinted>
  <dcterms:created xsi:type="dcterms:W3CDTF">2014-08-19T21:42:00Z</dcterms:created>
  <dcterms:modified xsi:type="dcterms:W3CDTF">2014-08-19T21:44:00Z</dcterms:modified>
</cp:coreProperties>
</file>